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SHEL</w:t>
      </w:r>
      <w:r>
        <w:rPr>
          <w:rFonts w:ascii="Calibri" w:hAnsi="Calibri"/>
          <w:b/>
          <w:color w:val="1A2010"/>
          <w:sz w:val="40"/>
        </w:rPr>
        <w:t xml:space="preserve">  Shell plc</w:t>
      </w:r>
    </w:p>
    <w:p>
      <w:pPr>
        <w:spacing w:after="120"/>
      </w:pPr>
      <w:r>
        <w:rPr>
          <w:rFonts w:ascii="Calibri" w:hAnsi="Calibri"/>
          <w:b/>
          <w:color w:val="6E8450"/>
          <w:sz w:val="18"/>
        </w:rPr>
        <w:t>DIVIDEND SLEEVE · 2026-10-17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United Kingdom</w:t>
      </w:r>
    </w:p>
    <w:p>
      <w:pPr>
        <w:spacing w:after="80"/>
      </w:pPr>
      <w:r>
        <w:rPr>
          <w:rFonts w:ascii="Calibri" w:hAnsi="Calibri"/>
          <w:b w:val="0"/>
          <w:color w:val="3A4A28"/>
          <w:sz w:val="20"/>
        </w:rPr>
        <w:t>Shell plc is one of the world's largest integrated energy companies, operating through Integrated Gas, Upstream, Marketing, Chemicals and Products, and Renewables and Energy Solutions segments. Founded in 1897 and headquartered in London, the company generates revenue from crude oil and natural gas exploration, LNG production and trading, refining, chemicals manufacturing, and retail fuels distribution across 70+ countries. Q2 2026 revenue surged 45% YoY to $94.7B with net income of $10.8B (up 196% YoY), driven by higher energy prices and record upstream output in Brazil.</w:t>
      </w:r>
    </w:p>
    <w:p>
      <w:r>
        <w:rPr>
          <w:rFonts w:ascii="Calibri" w:hAnsi="Calibri"/>
          <w:b/>
          <w:color w:val="6E8450"/>
          <w:sz w:val="18"/>
        </w:rPr>
        <w:t>84,000 Employees · https://www.shell.com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CEO Wael Sawan (appointed January 2023), Shell executed the $14B acquisition of ARC Resources in April 2026 to strengthen its Canadian oil sands position, and delivered a comprehensive operational restructuring to become a 'fitter, more competitive company' [1][2]. However, these moves represent strategic optimization of the existing fossil fuel business model rather than innovation or market reinvention — Shell simultaneously pulled back from its earlier renewable energy transition commitments. AI Deployment (0/2): Sawan mentioned 'embracing AI' in a December 2025 podcast, but no specific AI-powered products, quantified internal efficiency gains, or customer-facing AI deployments were found [2]. Shell uses digital tools for reservoir modeling and operational optimization, but these are industry-standard rather than differentiated. Market Share (2/2): Shell is the world's largest LNG trader and a top-3 global integrated oil company by revenue, with $94.7B in Q2 2026 revenue alone [1]. The Integrated Gas segment maintains dominant market positioning, and the company achieved record upstream production in Brazil during Q2 2026. Product Pipeline (1/2): LNG expansion projects and deepwater development in Brazil provide visible production growth, with full-year capex guided at $24B-$26B [1]. However, specific next-generation project timelines and revenue targets are not publicly articulated with precision. R&amp;D Intensity (0/1): Oil majors invest relatively little in R&amp;D as a percentage of revenue compared to technology and pharmaceutical peers; Shell's R&amp;D spending is primarily focused on operational efficiency and process optimization.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Shell's purpose statement — 'Powering Progress' — identifies what the company does (energy) and connects it to societal advancement, but it is not distinctive among integrated energy peers and could describe any major oil company [2]. The purpose has shifted in interpretation under successive CEOs: Ben van Beurden emphasized energy transition, while Wael Sawan refocused on traditional fossil fuels, suggesting the purpose serves strategy rather than guiding it. Community Impact (1/2): Shell maintains philanthropic programs and community investment across its operating footprint, including environmental remediation commitments. However, the company faces ongoing controversy over Niger Delta environmental damage and climate impact, partially offsetting community efforts [3]. Employee Retention (1/2): 84,000 employees in a 129-year-old organization with deep institutional knowledge, particularly in engineering and geoscience disciplines [2]. Sawan's restructuring has reduced headcount, but the company retains experienced technical talent critical to its operations. Insider Buying (0/2): No evidence of meaningful net insider buying by Sawan or senior executives in the last 12 months; standard compensation-related transactions only.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Shell's financial profile benefits from exceptional balance sheet discipline and strong capital returns. D/E of 40.2% is well below the 70% target (score 1.0), reflecting conservative leverage with net debt declining to $41.8B and gearing of 18.7% [1]. ROE of 14.3% approaches the 15% target (score 0.96). Revenue growth YoY of 44.7% (Q2 2026) far exceeds the 10% target (score 1.0), driven by higher energy prices and record upstream output, though annual FY2025 revenue of $266.9B declined 6% from FY2024 reflecting commodity price volatility. Forward P/E of 10.1x is deeply below the 20x target (score 1.0), signaling value territory for an integrated energy company. Profit margin of 8.8% scores below the 20% target (score 0.44), typical for high-revenue energy companies with commodity cost structures. Payout ratio of 32.6% is below the 40% target (score 1.0), and the company has paid dividends continuously for 81+ years (score 1.0, 2x weight). Consecutive years of dividend growth stands at 6 since the 2020 COVID-era cut (score 0.60), and the 5yr dividend growth CAGR of approximately 29% (score 1.0, 2x weight) is inflated by recovery from that historic cut. Liquidity is exceptional at $696M daily dollar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Shell is a 129-year-old institution that has survived world wars, nationalizations, oil embargoes, and the energy transition debate — demonstrating remarkable organizational durability. Under Wael Sawan, the company reversed predecessor Ben van Beurden's aggressive climate transition strategy to refocus on its core oil and gas strengths, acquiring ARC Resources for $14B while reducing renewable energy commitments. Sinek would see this as a company with institutional endurance but questionable cause clarity — the Just Cause shifts with each CEO, and the return to fossil fuels reflects short-term financial optimization rather than a vision of a future energy system. The company plays to keep playing, but the 'why' keeps changing.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Shell's 'Powering Progress' connects energy production to human advancement — a purpose that is genuine and partially lived through 129 years of building energy infrastructure worldwide [1][2]. The company's multi-decade investments in LNG, deepwater exploration, and retail distribution can be traced back to this purpose. However, the strategic reversal under Sawan — abandoning aggressive emissions targets, buying more oil and gas assets, pulling back from renewables — suggests the cause is adaptable to whatever strategy maximizes near-term returns rather than guiding the company toward a fixed future state. Sinek would note that a Just Cause should be robust to leadership transitions, and Shell's has not been.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Shell maintains a large, stable workforce of 84,000 with deep institutional knowledge in engineering, geoscience, and trading — disciplines where experienced personnel are the company's core asset [2]. The organization has survived multiple CEO transitions and strategic pivots without mass defections. However, Sawan's restructuring has reduced headcount, climate activists among employees have publicly challenged the strategy reversal, and annual shareholder meetings have been disrupted by protests, suggesting internal tensions around the company's direction [3]. The culture appears adequate rather than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Shell's competitive language tends toward market dominance — maintaining its position as the world's largest LNG trader, achieving record upstream production, and winning market share in downstream retail [1]. The company's strategic posture under Sawan is framed around being 'fitter and more competitive' rather than learning from rivals' strengths. The $14B ARC Resources acquisition was explicitly about scale and market position in Canadian energy. No evidence of Sinek-style acknowledgment of competitors' advantages or self-improvement through competitive observation.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Shell has demonstrated incremental adaptability over its 129-year history — evolving from a shipping and trading company to an integrated energy major, expanding into LNG when it was unproven, and briefly pivoting toward renewable energy under van Beurden [2]. The company rebranded from Royal Dutch Shell to Shell plc (2022) and restructured its corporate domicile. However, the Sawan-era reversal back to fossil fuels suggests flexibility is reactive rather than transformative — Shell adapts to the market cycle rather than reshaping it. No single strategic pivot rises to the level of Sinek's canonical examples.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$14B ARC Resources acquisition in 2026 demonstrates willingness to make large strategic bets, and Shell's commitment to $24B-$26B annual capex reflects long-horizon investment thinking [1]. The company maintained its dividend through the 2020 pandemic (albeit at a reduced level) and has progressively increased shareholder returns. However, the retreat from emissions targets and renewable energy investments under Sawan — in response to short-term shareholder pressure — is exactly the kind of finite-game decision Sinek warns against: choosing near-term profitability over long-term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Shell at $106.66 with a $303B market cap is a deeply valued integrated energy major trading at just 10.1x forward earnings, generating massive cash flow from elevated energy prices. Q2 2026 delivered $94.7B in revenue (up 45% YoY) with $10.8B net income (up 196%) and $17.5B free cash flow, driven by record upstream production in Brazil and peak refinery utilization [1]. The balance sheet is conservatively managed at 40.2% D/E with net debt declining to $41.8B (18.7% gearing), and the 2.93% dividend yield is well-covered at a 32.6% payout ratio with 6 consecutive years of growth since the 2020 cut. First-half 2026 adjusted earnings of $16.8B (up 71% YoY) suggest a full-year run rate approaching pre-2022 highs, and the ARC Resources acquisition adds long-duration Canadian oil sands reserves to the portfolio.</w:t>
      </w:r>
    </w:p>
    <w:p>
      <w:pPr>
        <w:spacing w:after="120"/>
      </w:pPr>
      <w:r>
        <w:rPr>
          <w:rFonts w:ascii="Calibri" w:hAnsi="Calibri"/>
          <w:b w:val="0"/>
          <w:color w:val="3A4A28"/>
          <w:sz w:val="20"/>
        </w:rPr>
        <w:t>The bear case centers on commodity cyclicality and strategic confusion. Shell's revenue and earnings are entirely hostage to oil and gas prices — the $94.7B Q2 was driven by elevated energy prices, while FY2025 annual revenue of $266.9B declined 6% as prices normalized [1]. The profit margin of 8.8% is structurally low for an IOWN-quality company, reflecting the commodity cost basis inherent in energy. Strategically, the Sawan-era retreat from renewable energy commitments — buying ARC Resources for $14B while cutting emissions targets — faces growing shareholder and regulatory backlash: a climate activist lawsuit against the board, protest-disrupted AGMs, and pension fund resolutions demanding alignment with Paris climate goals [3]. If energy prices decline to mid-cycle levels, Shell's valuation advantage evaporates and the company faces an identity crisis: neither an energy transition leader nor a pure-play upstream producer. The long-term demand outlook for fossil fuels remains structurally uncertain as AI-driven efficiency and renewable deployment accelerate.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elevated energy prices driving exceptional cash generation — Q2 2026 free cash flow of $17.5B annualizes to ~$70B, funding dividend growth, $3.5B quarterly buybacks, and debt reduction to below 18% gearing [1]</w:t>
      </w:r>
    </w:p>
    <w:p>
      <w:pPr>
        <w:spacing w:before="40" w:after="40"/>
        <w:ind w:left="283"/>
      </w:pPr>
      <w:r>
        <w:rPr>
          <w:rFonts w:ascii="Calibri" w:hAnsi="Calibri"/>
          <w:b/>
          <w:color w:val="4A6B25"/>
          <w:sz w:val="20"/>
        </w:rPr>
        <w:t xml:space="preserve">2. </w:t>
      </w:r>
      <w:r>
        <w:rPr>
          <w:rFonts w:ascii="Calibri" w:hAnsi="Calibri"/>
          <w:b w:val="0"/>
          <w:color w:val="3A4A28"/>
          <w:sz w:val="20"/>
        </w:rPr>
        <w:t>ARC Resources acquisition ($14B) adding long-duration Canadian oil sands reserves and diversifying upstream production beyond deepwater Brazil and the Middle East, with full integration expected by late 2026 [2]</w:t>
      </w:r>
    </w:p>
    <w:p>
      <w:pPr>
        <w:spacing w:before="40" w:after="40"/>
        <w:ind w:left="283"/>
      </w:pPr>
      <w:r>
        <w:rPr>
          <w:rFonts w:ascii="Calibri" w:hAnsi="Calibri"/>
          <w:b/>
          <w:color w:val="4A6B25"/>
          <w:sz w:val="20"/>
        </w:rPr>
        <w:t xml:space="preserve">3. </w:t>
      </w:r>
      <w:r>
        <w:rPr>
          <w:rFonts w:ascii="Calibri" w:hAnsi="Calibri"/>
          <w:b w:val="0"/>
          <w:color w:val="3A4A28"/>
          <w:sz w:val="20"/>
        </w:rPr>
        <w:t>LNG market tightening as European and Asian demand grows while new supply capacity faces 3-5 year lead times, favoring Shell's dominant LNG trading position and expanding Integrated Gas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cyclicality — Shell's profitability is directly tied to Brent crude and Henry Hub gas prices; a return to $60/bbl Brent from current ~$85/bbl levels would compress earnings 40%+ and reduce the dividend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Climate litigation and regulatory risk — activist lawsuit against Shell's board for inadequate emissions cuts, pension fund shareholder resolutions, and potential EU carbon border adjustments create growing operational and reputational costs [3]</w:t>
      </w:r>
    </w:p>
    <w:p>
      <w:pPr>
        <w:spacing w:before="40" w:after="40"/>
        <w:ind w:left="283"/>
      </w:pPr>
      <w:r>
        <w:rPr>
          <w:rFonts w:ascii="Calibri" w:hAnsi="Calibri"/>
          <w:b/>
          <w:color w:val="4A6B25"/>
          <w:sz w:val="20"/>
        </w:rPr>
        <w:t xml:space="preserve">3. </w:t>
      </w:r>
      <w:r>
        <w:rPr>
          <w:rFonts w:ascii="Calibri" w:hAnsi="Calibri"/>
          <w:b w:val="0"/>
          <w:color w:val="3A4A28"/>
          <w:sz w:val="20"/>
        </w:rPr>
        <w:t>Strategic incoherence between energy transition rhetoric and fossil fuel expansion — the Sawan-era reversal alienates ESG-focused institutional investors while the ARC Resources acquisition doubles down on high-emission oil sands at a time of increasing carbon regulation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Shell's core business — extracting, refining, transporting, and selling hydrocarbons and LNG — is deeply rooted in physical-world infrastructure that AI structurally cannot displace [1]. Oil wells, refineries, LNG tankers, and retail fuel stations require massive capital investment and operational expertise that no software can substitute. AI data center proliferation actually increases global energy demand, creating incremental demand for Shell's products. The company's downstream retail network, chemicals manufacturing, and integrated supply chain add further physical-world defensive moats. However, Shell is not fully immune because AI-driven energy optimization could reduce demand growth over the long term, and AI-accelerated renewable energy deployment may compress the fossil fuel demand curve faster than current projections [2]. AI Opportunity (0/1): No quantifiable AI revenue stream. Shell uses AI and digital tools for reservoir modeling, predictive maintenance, and trading optimization, but these are internal efficiency tools rather than revenue-generating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Shell Q2 2026 Earnings — Revenue $94.7B (+45% YoY), Net Income $10.8B (+196%), FCF $17.5B, Net Debt $41.8B — Offshore Technology, NS Energy, July 2026</w:t>
      </w:r>
    </w:p>
    <w:p>
      <w:pPr>
        <w:spacing w:before="20" w:after="20"/>
        <w:ind w:left="170"/>
      </w:pPr>
      <w:r>
        <w:rPr>
          <w:rFonts w:ascii="Calibri" w:hAnsi="Calibri"/>
          <w:b/>
          <w:color w:val="4A6B25"/>
          <w:sz w:val="15"/>
        </w:rPr>
        <w:t xml:space="preserve">2. </w:t>
      </w:r>
      <w:r>
        <w:rPr>
          <w:rFonts w:ascii="Calibri" w:hAnsi="Calibri"/>
          <w:b w:val="0"/>
          <w:color w:val="3A4A28"/>
          <w:sz w:val="17"/>
        </w:rPr>
        <w:t>Shell CEO Wael Sawan — Leadership transformation, ARC Resources $14B acquisition, AI strategy — GamesBeat, Fortune, Energy Podcast, 2025-2026</w:t>
      </w:r>
    </w:p>
    <w:p>
      <w:pPr>
        <w:spacing w:before="20" w:after="20"/>
        <w:ind w:left="170"/>
      </w:pPr>
      <w:r>
        <w:rPr>
          <w:rFonts w:ascii="Calibri" w:hAnsi="Calibri"/>
          <w:b/>
          <w:color w:val="4A6B25"/>
          <w:sz w:val="15"/>
        </w:rPr>
        <w:t xml:space="preserve">3. </w:t>
      </w:r>
      <w:r>
        <w:rPr>
          <w:rFonts w:ascii="Calibri" w:hAnsi="Calibri"/>
          <w:b w:val="0"/>
          <w:color w:val="3A4A28"/>
          <w:sz w:val="17"/>
        </w:rPr>
        <w:t>Shell ESG Controversies — Board lawsuit over emissions, AGM protests, pension fund shareholder resolutions, Paris alignment vote — Energy Intelligence, IR Impact,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