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SHOO</w:t>
      </w:r>
      <w:r>
        <w:rPr>
          <w:rFonts w:ascii="Calibri" w:hAnsi="Calibri"/>
          <w:b/>
          <w:color w:val="1A2010"/>
          <w:sz w:val="40"/>
        </w:rPr>
        <w:t xml:space="preserve">  Steven Madden, Ltd.</w:t>
      </w:r>
    </w:p>
    <w:p>
      <w:pPr>
        <w:spacing w:after="120"/>
      </w:pPr>
      <w:r>
        <w:rPr>
          <w:rFonts w:ascii="Calibri" w:hAnsi="Calibri"/>
          <w:b/>
          <w:color w:val="6E8450"/>
          <w:sz w:val="18"/>
        </w:rPr>
        <w:t>DIVIDEND SLEEVE · 2026-09-20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NASDAQ · United States</w:t>
      </w:r>
    </w:p>
    <w:p>
      <w:pPr>
        <w:spacing w:after="80"/>
      </w:pPr>
      <w:r>
        <w:rPr>
          <w:rFonts w:ascii="Calibri" w:hAnsi="Calibri"/>
          <w:b w:val="0"/>
          <w:color w:val="3A4A28"/>
          <w:sz w:val="20"/>
        </w:rPr>
        <w:t>Steven Madden designs, sources, and markets fashion-forward branded and private-label footwear, accessories, and apparel through the Steve Madden, Kurt Geiger London, Dolce Vita, Betsey Johnson, Blondo, and Anne Klein brands. The company operates Wholesale Footwear, Wholesale Accessories/Apparel, Direct-to-Consumer, and Licensing segments. Q2 2026 revenue rose 19.1% YoY to $665.9M with DTC surging 30.6% to $255.4M, gross margin expanding to 46.5%, and full-year guidance raised to 11-13% revenue growth with $2.55-$2.65 EPS. Market cap is approximately $3.1B.</w:t>
      </w:r>
    </w:p>
    <w:p>
      <w:r>
        <w:rPr>
          <w:rFonts w:ascii="Calibri" w:hAnsi="Calibri"/>
          <w:b/>
          <w:color w:val="6E8450"/>
          <w:sz w:val="18"/>
        </w:rPr>
        <w:t>4,200 Employees · https://www.stevemadden.com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Steven Madden executed the transformative ~$500M Kurt Geiger London acquisition in 2024, expanding into accessible luxury and European distribution, while the DTC build-out surged 30.6% YoY to $255.4M in Q2 2026 [1]. The multi-brand portfolio (Steve Madden, Kurt Geiger, Dolce Vita, Betsey Johnson, Anne Klein) represents meaningful diversification from the original single-brand footwear model. AI Deployment (1/2): The company deployed AI shopping optimization through a Fast Simon partnership for real-time merchandising and trend-responsive e-commerce, and management has prioritized AI-driven product page optimization for discoverability [2]. No quantified revenue impact or cost savings reported — this remains exploratory. Market Share (1/2): Steve Madden is a meaningful player in affordable fashion footwear with strong brand recognition among 18-35 demographics. Q2 2026 showed robust sell-through in wholesale and strong DTC comps, suggesting share gains [1]. Kurt Geiger adds dominant UK accessible luxury positioning. Not a broad category leader. Product Pipeline (1/2): Management raised FY2026 guidance twice to 11-13% revenue growth, with store expansion plans and international distribution rollout through Kurt Geiger's European network providing near-term revenue visibility [1]. R&amp;D Intensity (0/1): Fashion company with minimal formal R&amp;D; innovation expressed through trend-driven design and brand acquisition rather than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Steve Madden's purpose centers on making trend-driven fashion accessible to a broad consumer base — clear and customer-focused but not distinctive, as the positioning is interchangeable with many fashion peers. The mission does not articulate a deeper purpose beyond providing affordable style [3]. Community Impact (1/2): The company launched its 'Let's Get Real' sustainability strategy in 2021, earned a CDP Climate Change B score in 2025, received Science-Based Targets initiative approval for Scope 1-3 carbon reduction targets, conducted 141 factory assessments for social compliance, expanded inclusive sizing, and invested $205K in inclusive fashion programs [3]. Genuine effort but modest scale for a $3.1B market cap company. Employee Retention (0/2): Glassdoor rating of 3.4/5.0 across 1,324 reviews with culture and values at 3.2/5.0. Employee reviews cite upper management operating through 'fear, favoritism, and ego rather than strategy' with loyalty valued 'far more than competence' [2]. No standout retention or tenure data. Insider Buying (0/2): All recent insider transactions are sales — President Varela sold $728K and $434K in August/June 2026, directors Klipper ($190K), Ferrara ($189K), Reed ($61K), Davis ($25K), and Migliorini ($181K) all selling in 2026. Unambiguous net insider selling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updated metrics. Balance sheet strength with D/E at 38.8%, well below the 70% target [4]. ROE recovered to 15.9%, above the 15% target, after the tariff-depressed FY2025 period. Revenue growth YoY of 19.1% and Q2 gross margin expansion to 46.5% demonstrate accelerating profitability [1]. Forward P/E of 15.16x is attractively below the 20x target. The primary drags are thin net profit margin of 5.2% (well below 20% target) and a modest 3-year revenue CAGR of approximately 6.1%. Payout ratio improved to 42% from the 81% TTM level seen in July 2026 as earnings normalize. Dividend has been paid for 20+ consecutive years ($0.84/year) but has been flat since 2022, scoring 0 on consecutive growth. The 5-year dividend growth CAGR of approximately 7% reflects the one-time increase from $0.15 to $0.21 in 2021-2022. Liquidity floor easily cleared at ~$46M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Steven Madden under CEO Rosenfeld plays a mixed game — the Kurt Geiger acquisition and DTC transformation demonstrate willingness to invest in long-term portfolio building, and the company has evolved from a single-brand wholesaler to a multi-brand omnichannel platform over 18 years of consistent leadership. However, the fashion industry's seasonal trend cycles create finite-game pressure, employee sentiment suggests a culture of fear and favoritism rather than trust, and there is no articulated Just Cause beyond selling fashionable products.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Steve Madden's cause — making fashion-forward footwear accessible — is functional but shallow. The purpose has been consistent since the 1990 founding, but making trendy shoes affordable is a business model, not a vision of a better future that meets Sinek's criteria [3]. The 'Let's Get Real' sustainability strategy adds social purpose but was launched only in 2021 and hasn't been tested through crisis.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reveal a concerning trust deficit. Glassdoor rating of 3.4/5.0 with culture at 3.2/5.0, and multiple reviews describe upper management operating through 'fear, favoritism, and ego rather than strategy' with decisions 'personal rather than professional' and loyalty valued 'far more than competence' [2]. This is inconsistent with Sinek's Circle of Safety — employees appear to spend energy navigating politics rather than advancing the company's mission. CEO Rosenfeld's 18-year tenure provides leadership stability but does not compensate for the cultural concerns at the management layer.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Steve Madden's multi-brand acquisition strategy reflects an infinite competitive mindset — acquiring Kurt Geiger to compete in accessible luxury where LVMH and Tapestry have structural advantages, rather than trying to dominate every segment with a single brand [1]. The portfolio approach acknowledges competitors' strengths in specific segments and builds complementary capabilities to broaden the company's appeal, framing competition as motivation to expand the platform rather than destroy individual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Steven Madden has evolved from a single-brand U.S. wholesale footwear company to a multi-brand, international, omnichannel platform through the Kurt Geiger acquisition, DTC expansion to $255.4M quarterly revenue, and diversification into accessories and apparel [1]. The business model has shifted meaningfully from wholesale-dependent to balanced wholesale/DTC. However, these are incremental evolutionary pivots — the company has not fundamentally reinvented its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Rosenfeld demonstrated meaningful courage with the ~$500M Kurt Geiger acquisition that temporarily depressed earnings but expanded the company's strategic positioning internationally. Raising FY2026 guidance twice — from 10-12% to 11-13% revenue growth with $2.55-$2.65 EPS — while absorbing tariff headwinds through pricing power rather than quality cuts shows strategic confidence [1]. However, no evidence of sacrificing profitable but misaligned businesses in service of a larger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Steven Madden is delivering accelerating growth — Q2 2026 revenue rose 19.1% to $665.9M with DTC surging 30.6% to $255.4M and gross margin expanding 460bps to 46.5% on higher average selling prices and reduced tariff pressure [1]. The company raised FY2026 guidance for the second consecutive quarter to 11-13% revenue growth with $2.55-$2.65 EPS, signaling robust earnings normalization from the tariff-depressed FY2025 base. At 15.2x forward P/E with 19% revenue growth momentum, a clean balance sheet (D/E 38.8%), and 20+ year dividend history, the valuation is undemanding relative to the growth profile. The multi-brand strategy (Steve Madden, Kurt Geiger, Dolce Vita) provides diversified revenue across price points, channels, and geographies.</w:t>
      </w:r>
    </w:p>
    <w:p>
      <w:pPr>
        <w:spacing w:after="120"/>
      </w:pPr>
      <w:r>
        <w:rPr>
          <w:rFonts w:ascii="Calibri" w:hAnsi="Calibri"/>
          <w:b w:val="0"/>
          <w:color w:val="3A4A28"/>
          <w:sz w:val="20"/>
        </w:rPr>
        <w:t>The bear case centers on structural margin compression and organizational risks. Net profit margin of 5.2% provides minimal buffer against fashion misses, inventory markdowns, or promotional pressure — one weak season could push quarterly earnings negative [4]. The Glassdoor reviews revealing fear-based management (3.4/5.0, culture 3.2/5.0) and broad insider selling across the executive team in 2026 (President Varela $1.16M, plus multiple directors) raise concerns about organizational health and leadership conviction at current levels [2][4]. The dividend has been frozen at $0.84/year since 2022, and while the payout ratio improved to 42% from 81%, the absence of a dividend increase despite improved earnings signals cautious capital return priorities. Fashion trend risk is inherent — the Steve Madden brand targets trend-sensitive consumers who can shift quickly to competitors, and AI-driven trend forecasting could erode speed-to-market advantages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DTC channel momentum at 30.6% YoY growth ($255.4M in Q2 2026) with higher margins than wholesale could structurally improve the profitability profile as channel mix shifts toward direct [1]</w:t>
      </w:r>
    </w:p>
    <w:p>
      <w:pPr>
        <w:spacing w:before="40" w:after="40"/>
        <w:ind w:left="283"/>
      </w:pPr>
      <w:r>
        <w:rPr>
          <w:rFonts w:ascii="Calibri" w:hAnsi="Calibri"/>
          <w:b/>
          <w:color w:val="4A6B25"/>
          <w:sz w:val="20"/>
        </w:rPr>
        <w:t xml:space="preserve">2. </w:t>
      </w:r>
      <w:r>
        <w:rPr>
          <w:rFonts w:ascii="Calibri" w:hAnsi="Calibri"/>
          <w:b w:val="0"/>
          <w:color w:val="3A4A28"/>
          <w:sz w:val="20"/>
        </w:rPr>
        <w:t>Gross margin recovery to 46.5% from 41.9% prior year demonstrates pricing power and tariff mitigation effectiveness — sustained improvement could drive net margin expansion from the current thin 5.2% level [1]</w:t>
      </w:r>
    </w:p>
    <w:p>
      <w:pPr>
        <w:spacing w:before="40" w:after="40"/>
        <w:ind w:left="283"/>
      </w:pPr>
      <w:r>
        <w:rPr>
          <w:rFonts w:ascii="Calibri" w:hAnsi="Calibri"/>
          <w:b/>
          <w:color w:val="4A6B25"/>
          <w:sz w:val="20"/>
        </w:rPr>
        <w:t xml:space="preserve">3. </w:t>
      </w:r>
      <w:r>
        <w:rPr>
          <w:rFonts w:ascii="Calibri" w:hAnsi="Calibri"/>
          <w:b w:val="0"/>
          <w:color w:val="3A4A28"/>
          <w:sz w:val="20"/>
        </w:rPr>
        <w:t>Kurt Geiger international expansion through European retail and wholesale networks provides a growth runway beyond the mature U.S. market with premium brand margin accretion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Structurally thin 5.2% net profit margin provides no buffer against fashion trend misses, promotional activity, or tariff re-escalation on footwear imports from China and Vietnam [4]</w:t>
      </w:r>
    </w:p>
    <w:p>
      <w:pPr>
        <w:spacing w:before="40" w:after="40"/>
        <w:ind w:left="283"/>
      </w:pPr>
      <w:r>
        <w:rPr>
          <w:rFonts w:ascii="Calibri" w:hAnsi="Calibri"/>
          <w:b/>
          <w:color w:val="4A6B25"/>
          <w:sz w:val="20"/>
        </w:rPr>
        <w:t xml:space="preserve">2. </w:t>
      </w:r>
      <w:r>
        <w:rPr>
          <w:rFonts w:ascii="Calibri" w:hAnsi="Calibri"/>
          <w:b w:val="0"/>
          <w:color w:val="3A4A28"/>
          <w:sz w:val="20"/>
        </w:rPr>
        <w:t>Broad insider selling totaling over $1.9M across the C-suite and board in 2026 despite accelerating revenue growth suggests potential executive caution about sustaining current operating momentum [4]</w:t>
      </w:r>
    </w:p>
    <w:p>
      <w:pPr>
        <w:spacing w:before="40" w:after="40"/>
        <w:ind w:left="283"/>
      </w:pPr>
      <w:r>
        <w:rPr>
          <w:rFonts w:ascii="Calibri" w:hAnsi="Calibri"/>
          <w:b/>
          <w:color w:val="4A6B25"/>
          <w:sz w:val="20"/>
        </w:rPr>
        <w:t xml:space="preserve">3. </w:t>
      </w:r>
      <w:r>
        <w:rPr>
          <w:rFonts w:ascii="Calibri" w:hAnsi="Calibri"/>
          <w:b w:val="0"/>
          <w:color w:val="3A4A28"/>
          <w:sz w:val="20"/>
        </w:rPr>
        <w:t>Fear-based management culture cited in employee reviews risks talent attrition and organizational dysfunction, particularly as the company scales internationally and integrates acquired brands requiring cross-cultural collaboration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Steven Madden's core business — designing, sourcing, and marketing physical footwear and accessories — involves tangible products, complex global supply chains, and brand-driven consumer purchasing decisions that AI cannot structurally displace [2]. Fashion footwear requires physical manufacturing, retail distribution, and tactile consumer evaluation. The company's 10-K acknowledges AI-related risks around data integrity, regulatory uncertainty, and competitive pressure from failing to integrate AI at competitor pace, but these are operational adoption risks, not existential threats [2]. However, AI-powered trend forecasting could erode Steve Madden's speed-to-market advantage, and AI shopping agents may shift discovery from brand loyalty toward algorithmic recommendations, compressing brand premiums over time. AI Opportunity (0/1): The Fast Simon partnership and AI-optimized product pages are defensive investments in digital discoverability, not revenue-generating AI products. No quantifiable AI revenue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Steven Madden Q2 2026 Earnings — Revenue $665.9M (+19.1%), DTC $255.4M (+30.6%), Gross Margin 46.5%, Full-Year Guidance Raised to 11-13% Revenue Growth, $2.55-$2.65 EPS, July 2026</w:t>
      </w:r>
    </w:p>
    <w:p>
      <w:pPr>
        <w:spacing w:before="20" w:after="20"/>
        <w:ind w:left="170"/>
      </w:pPr>
      <w:r>
        <w:rPr>
          <w:rFonts w:ascii="Calibri" w:hAnsi="Calibri"/>
          <w:b/>
          <w:color w:val="4A6B25"/>
          <w:sz w:val="15"/>
        </w:rPr>
        <w:t xml:space="preserve">2. </w:t>
      </w:r>
      <w:r>
        <w:rPr>
          <w:rFonts w:ascii="Calibri" w:hAnsi="Calibri"/>
          <w:b w:val="0"/>
          <w:color w:val="3A4A28"/>
          <w:sz w:val="17"/>
        </w:rPr>
        <w:t>Steven Madden AI Strategy, SEC 10-K FY2025 Risk Factors, Glassdoor Reviews — Fast Simon AI Partnership, Employee Culture 3.4/5.0, AI Operational Risks, 2025-2026</w:t>
      </w:r>
    </w:p>
    <w:p>
      <w:pPr>
        <w:spacing w:before="20" w:after="20"/>
        <w:ind w:left="170"/>
      </w:pPr>
      <w:r>
        <w:rPr>
          <w:rFonts w:ascii="Calibri" w:hAnsi="Calibri"/>
          <w:b/>
          <w:color w:val="4A6B25"/>
          <w:sz w:val="15"/>
        </w:rPr>
        <w:t xml:space="preserve">3. </w:t>
      </w:r>
      <w:r>
        <w:rPr>
          <w:rFonts w:ascii="Calibri" w:hAnsi="Calibri"/>
          <w:b w:val="0"/>
          <w:color w:val="3A4A28"/>
          <w:sz w:val="17"/>
        </w:rPr>
        <w:t>Steven Madden ESG and Sustainability — CDP B Score 2025, SBTi Scope 1-3 Targets Approved, 'Let's Get Real' Strategy, 141 Factory Assessments, $205K Inclusion Programs,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SHOO Key Statistics: Forward P/E 15.16x, ROE 15.9%, D/E 38.8%, Profit Margin 5.2%,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