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SHW</w:t>
      </w:r>
      <w:r>
        <w:rPr>
          <w:rFonts w:ascii="Calibri" w:hAnsi="Calibri"/>
          <w:b/>
          <w:color w:val="1A2010"/>
          <w:sz w:val="40"/>
        </w:rPr>
        <w:t xml:space="preserve">  The Sherwin-Williams Company</w:t>
      </w:r>
    </w:p>
    <w:p>
      <w:pPr>
        <w:spacing w:after="120"/>
      </w:pPr>
      <w:r>
        <w:rPr>
          <w:rFonts w:ascii="Calibri" w:hAnsi="Calibri"/>
          <w:b/>
          <w:color w:val="6E8450"/>
          <w:sz w:val="18"/>
        </w:rPr>
        <w:t>GROWTH SLEEVE · 2026-09-16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Sherwin-Williams is the world's largest manufacturer of paints and coatings, operating through three segments: Paint Stores Group (4,800+ company-owned stores serving professional painters), Consumer Brands Group (products sold through home centers and hardware stores), and Performance Coatings Group (industrial coatings for automotive, aerospace, packaging, and wood finishing). Founded in 1866 in Cleveland, Ohio, the company reported Q2 2026 revenue of $6.79B with raised full-year adjusted EPS guidance of $11.80-$12.20.</w:t>
      </w:r>
    </w:p>
    <w:p>
      <w:r>
        <w:rPr>
          <w:rFonts w:ascii="Calibri" w:hAnsi="Calibri"/>
          <w:b/>
          <w:color w:val="6E8450"/>
          <w:sz w:val="18"/>
        </w:rPr>
        <w:t>64,249 Employees · https://www.sherwin-williams.com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Sherwin-Williams delivered Q2 2026 revenue of $6.79B with adjusted EPS of $3.70 beating estimates, and Q1 2026 revenue of $5.67B (up 6.8% YoY) with all three segments exceeding guidance [1][2]. The 2017 Valspar acquisition ($11.3B) was transformative but falls outside the 5-year window — since 2021, the company has focused on incremental store expansion, margin improvement, and pricing discipline rather than business model transformation. AI Deployment (0/2): No evidence of AI-powered products shipping to customers or quantified AI-driven cost savings. Technology investments focus on color-matching tools like ColorSnap Visualizer and e-commerce capabilities rather than AI [3]. Market Share (2/2): Sherwin-Williams is the undisputed global leader in paints and coatings by revenue, with 4,800+ company-operated stores creating an unmatched distribution moat in professional paint [1]. The company holds the #1 position in architectural coatings in North America and reported new account wins and increased share of wallet across all segments in Q2 2026. Pipeline (1/2): Management announced an 8% price increase plan and raised full-year guidance to $11.80-$12.20 adjusted EPS (above consensus of $11.76), but no specific next-gen products with named launch dates — strategy centers on pricing, productivity, and outperforming 'continued demand softness in most end markets' [1]. R&amp;D Intensity (1/1): Above-average R&amp;D investment for the coatings industry, with proprietary formulation technology across thousands of SKUs and continued investment in sustainable low-VOC coatings and advanced industrial formulations.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Sherwin-Williams' stated purpose — 'We inspire and improve the world by coloring and protecting what matters' — is specific, thoughtful, and connects the company's work to a larger purpose beyond selling paint [3]. It has guided strategic decisions including the Valspar acquisition, sustainability investments, and community programs across 160 years of consistent execution. Community Impact (2/2): The company has collected over 1 million gallons of paint for recycling through PaintCare, reduced employee injury rates by more than 50% since 2015, and publishes comprehensive sustainability reports covering circularity, climate, and occupational health [4]. As a major employer of 64,249 people, SHW invests meaningfully in community safety and environmental programs. Employee Retention (1/2): Average retention for the industry. CEO Heidi Petz (appointed January 2024) has a Glassdoor approval rating of 39%, with reviews citing disconnect between corporate and store-level needs, budget-first priorities, and inconsistent day-to-day support [3]. However, the structured Leadership Development Program and 160-year institutional stability demonstrate investment in people.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sleeve. D/E of 390% exceeds the 300% floor (score 0.0), reflecting $14B+ total debt from the Valspar acquisition against a buyback-depleted equity base [5]. ROE of 65.1% is exceptional (score 1.0, 2x weight), driven by both strong profitability and leveraged capital structure. Revenue growth of 7.5% YoY is improving (score 0.92), with Q2 2026 revenue of $6.79B beating estimates, though 5-year CAGR of ~3.8% (score 0.59, 2x weight) reflects a mature housing cycle. Forward P/E of 23.8 is reasonable (score 0.91). Profit margin of 11.0% is moderate (score 0.55), consistent with capital-intensive manufacturing and raw material costs. Forward PEG of 2.09 is elevated relative to growth (score 0.46, 2x weight). Management raised full-year adjusted EPS guidance to $11.80-$12.20 and announced an 8% price increase plan [1]. Liquidity floor easily cleared: 2.1M avg daily volume × $323 = $678M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Sherwin-Williams exhibits strong infinite game characteristics rooted in 160 years of consistent purpose execution. The company has survived and thrived through depressions, world wars, and housing busts while maintaining unwavering focus on paints and coatings. The Valspar acquisition demonstrated courageous long-term thinking, and the 47-year consecutive dividend growth streak validates endurance. However, the recent CEO transition with low approval ratings and conservative 'softer-for-longer' positioning temper the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'We inspire and improve the world by coloring and protecting what matters' has been validated by 160 years of consistent execution through the Great Depression, two World Wars, multiple housing busts, and numerous leadership transitions [1][3]. The purpose drove the Valspar acquisition (expanding global protection capabilities), PaintCare recycling programs (environmental stewardship), and sustained investment in low-VOC sustainable coatings. The 47-year dividend growth streak through recessions demonstrates institutional endurance. Sinek would cite SHW's multi-generational consistency as evidence that the Just Cause IS the institution.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employs 64,249 people with a structured Leadership Development Program and reduced injury rates by 50%+ since 2015, demonstrating genuine investment in employee safety and development [4]. However, CEO Heidi Petz has only a 39% Glassdoor approval rating, with employee reviews citing disconnect between corporate and store-level needs, illogical rules, poor communication, and staffing capacity challenges [3]. Budget-first priorities and information silos undermine trust at the operational level, though the 160-year institutional stability provides organizational continuity.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Sherwin-Williams' competitive posture is dominance-oriented — as the world's largest paint company, management language consistently focuses on 'new account wins,' 'increased share of wallet,' and outperforming industry benchmarks rather than learning from competitors [1]. The strategy centers on owning more stores and controlling more distribution, a finite game of accumulation. No evidence of management referencing PPG, Akzo Nobel, or Benjamin Moore as worthy rivals whose strengths reveal SHW's own areas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$11.3B Valspar acquisition represented significant strategic evolution — expanding from primarily North American architectural coatings into a global platform including industrial, automotive, and packaging coatings [1]. The company also adapted by building its company-owned store network (now 4,800+) when competitors retreated to wholesale channels. However, the core business model has remained fundamentally unchanged for 160 years: manufacture and sell paint and coatings.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$11.3B Valspar acquisition was a courageous bet that doubled SHW's global coatings footprint and has been fully integrated [1]. The 8% price increase announced amid 'heightened global uncertainty and continued demand softness' demonstrates pricing conviction [1]. The company maintained its 47-year dividend growth streak through downturns and continued opening stores when competitors retreated. However, 2026 guidance acknowledges 'softer-for-longer' demand environment, suggesting management is waiting for a housing recovery rather than proactively creating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Sherwin-Williams is the world's largest paint and coatings company with an unmatched distribution moat of 4,800+ company-operated stores, delivering Q2 2026 revenue of $6.79B with adjusted EPS of $3.70 beating estimates and prompting raised full-year guidance to $11.80-$12.20 [1]. The 8% price increase plan demonstrates pricing power, while new account wins and increased share of wallet across all three segments show market share gains even in a soft demand environment. The 47-year consecutive dividend growth streak, 65% ROE, and structural immunity to AI disruption make SHW a durable compounder with $78B market capitalization [5].</w:t>
      </w:r>
    </w:p>
    <w:p>
      <w:pPr>
        <w:spacing w:after="120"/>
      </w:pPr>
      <w:r>
        <w:rPr>
          <w:rFonts w:ascii="Calibri" w:hAnsi="Calibri"/>
          <w:b w:val="0"/>
          <w:color w:val="3A4A28"/>
          <w:sz w:val="20"/>
        </w:rPr>
        <w:t>The bear case centers on extreme leverage, valuation, and growth headwinds. D/E of 390% — driven by the Valspar acquisition and aggressive buybacks — leaves minimal balance sheet flexibility if the housing downturn deepens [5]. Revenue growth of 7.5% YoY is improving but 5-year CAGR of ~3.8% against a PEG of 2.09 suggests the stock is priced for a recovery that management describes as 'continued demand softness in most end markets' [1]. New CEO Heidi Petz carries only a 39% Glassdoor approval rating with employee reviews citing cultural disconnect between corporate and field operations [3]. Profit margin of 11% is constrained by raw material costs (TiO2, petrochemicals) subject to commodity cycles. MSCI ESG rating of A with moderate controversy level presents potential governance concerns [4]. The stock trades 14% below its 52-week high of $377.77, reflecting market uncertainty about the timing of a housing recovery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cycle recovery — when mortgage rates decline, pent-up demand for remodeling and repainting typically drives a sharp rebound in Paint Stores Group volumes, the highest-margin segment generating outsized earnings leverage [1]</w:t>
      </w:r>
    </w:p>
    <w:p>
      <w:pPr>
        <w:spacing w:before="40" w:after="40"/>
        <w:ind w:left="283"/>
      </w:pPr>
      <w:r>
        <w:rPr>
          <w:rFonts w:ascii="Calibri" w:hAnsi="Calibri"/>
          <w:b/>
          <w:color w:val="4A6B25"/>
          <w:sz w:val="20"/>
        </w:rPr>
        <w:t xml:space="preserve">2. </w:t>
      </w:r>
      <w:r>
        <w:rPr>
          <w:rFonts w:ascii="Calibri" w:hAnsi="Calibri"/>
          <w:b w:val="0"/>
          <w:color w:val="3A4A28"/>
          <w:sz w:val="20"/>
        </w:rPr>
        <w:t>8% price increase plan and raised full-year guidance to $11.80-$12.20 adjusted EPS demonstrate pricing power and operational resilience, with Q2 2026 beating estimates across all three segments [1]</w:t>
      </w:r>
    </w:p>
    <w:p>
      <w:pPr>
        <w:spacing w:before="40" w:after="40"/>
        <w:ind w:left="283"/>
      </w:pPr>
      <w:r>
        <w:rPr>
          <w:rFonts w:ascii="Calibri" w:hAnsi="Calibri"/>
          <w:b/>
          <w:color w:val="4A6B25"/>
          <w:sz w:val="20"/>
        </w:rPr>
        <w:t xml:space="preserve">3. </w:t>
      </w:r>
      <w:r>
        <w:rPr>
          <w:rFonts w:ascii="Calibri" w:hAnsi="Calibri"/>
          <w:b w:val="0"/>
          <w:color w:val="3A4A28"/>
          <w:sz w:val="20"/>
        </w:rPr>
        <w:t>Dividend Aristocrat trajectory — 47 consecutive years of dividend growth with a conservative 29.3% payout ratio and 12.1% 5-year dividend growth CAGR provide room for continued shareholder returns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Prolonged housing downturn — management acknowledges 'heightened global uncertainty and continued demand softness in most end markets,' limiting organic volume growth and leaving SHW dependent on pricing and share gains [1]</w:t>
      </w:r>
    </w:p>
    <w:p>
      <w:pPr>
        <w:spacing w:before="40" w:after="40"/>
        <w:ind w:left="283"/>
      </w:pPr>
      <w:r>
        <w:rPr>
          <w:rFonts w:ascii="Calibri" w:hAnsi="Calibri"/>
          <w:b/>
          <w:color w:val="4A6B25"/>
          <w:sz w:val="20"/>
        </w:rPr>
        <w:t xml:space="preserve">2. </w:t>
      </w:r>
      <w:r>
        <w:rPr>
          <w:rFonts w:ascii="Calibri" w:hAnsi="Calibri"/>
          <w:b w:val="0"/>
          <w:color w:val="3A4A28"/>
          <w:sz w:val="20"/>
        </w:rPr>
        <w:t>Extreme leverage — D/E of 390% with $14B+ total debt creates vulnerability to interest rate risk and limits strategic flexibility for acquisitions while a thin equity base amplifies earnings volatility [5]</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 Heidi Petz assumed the role in January 2024 with only 39% Glassdoor approval, and employee reviews cite disconnect between corporate strategy and store-level reality, creating potential execution risk in a challenging demand environment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Sherwin-Williams' core business — manufacturing and distributing physical paint and coatings — is structurally immune to AI disruption [1]. Paint stores require physical inventory, professional painters need hands-on product recommendations, and chemical formulation relies on proprietary physical processes that AI cannot replicate or substitute. The 4,800+ company-operated store network creates a physical distribution moat unbreachable by digital competitors. Industrial coatings for automotive, aerospace, and packaging require physical application and regulatory compliance that AI cannot automate away. Housing renovation and construction — the primary demand drivers — involve physical-world work that AI enhances rather than threatens. AI Opportunity (0/1): No evidence of meaningful AI-derived revenue. Technology investments focus on color-matching tools and e-commerce capabilities rather than AI products or services generating quantifiable incremental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Sherwin-Williams Q2 2026 Earnings Release — $6.79B revenue, adjusted EPS $3.70, raised full-year guidance to $11.80-$12.20, July 2026</w:t>
      </w:r>
    </w:p>
    <w:p>
      <w:pPr>
        <w:spacing w:before="20" w:after="20"/>
        <w:ind w:left="170"/>
      </w:pPr>
      <w:r>
        <w:rPr>
          <w:rFonts w:ascii="Calibri" w:hAnsi="Calibri"/>
          <w:b/>
          <w:color w:val="4A6B25"/>
          <w:sz w:val="15"/>
        </w:rPr>
        <w:t xml:space="preserve">2. </w:t>
      </w:r>
      <w:r>
        <w:rPr>
          <w:rFonts w:ascii="Calibri" w:hAnsi="Calibri"/>
          <w:b w:val="0"/>
          <w:color w:val="3A4A28"/>
          <w:sz w:val="17"/>
        </w:rPr>
        <w:t>Sherwin-Williams Q1 2026 Earnings Release — $5.67B revenue, 6.8% YoY growth, adjusted EPS $2.18, April 2026</w:t>
      </w:r>
    </w:p>
    <w:p>
      <w:pPr>
        <w:spacing w:before="20" w:after="20"/>
        <w:ind w:left="170"/>
      </w:pPr>
      <w:r>
        <w:rPr>
          <w:rFonts w:ascii="Calibri" w:hAnsi="Calibri"/>
          <w:b/>
          <w:color w:val="4A6B25"/>
          <w:sz w:val="15"/>
        </w:rPr>
        <w:t xml:space="preserve">3. </w:t>
      </w:r>
      <w:r>
        <w:rPr>
          <w:rFonts w:ascii="Calibri" w:hAnsi="Calibri"/>
          <w:b w:val="0"/>
          <w:color w:val="3A4A28"/>
          <w:sz w:val="17"/>
        </w:rPr>
        <w:t>Glassdoor, Built In — Sherwin-Williams CEO approval rating (39%), leadership culture, employee sentiment,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Sherwin-Williams Sustainability Report &amp; ESG Disclosures — PaintCare recycling, Sustainalytics, MSCI rating A,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SHW Key Statistics, Debt Profile, Dividend History,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