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SKT</w:t>
      </w:r>
      <w:r>
        <w:rPr>
          <w:rFonts w:ascii="Calibri" w:hAnsi="Calibri"/>
          <w:b/>
          <w:color w:val="1A2010"/>
          <w:sz w:val="40"/>
        </w:rPr>
        <w:t xml:space="preserve">  Tanger Inc.</w:t>
      </w:r>
    </w:p>
    <w:p>
      <w:pPr>
        <w:spacing w:after="120"/>
      </w:pPr>
      <w:r>
        <w:rPr>
          <w:rFonts w:ascii="Calibri" w:hAnsi="Calibri"/>
          <w:b/>
          <w:color w:val="6E8450"/>
          <w:sz w:val="18"/>
        </w:rPr>
        <w:t>DIVIDEND SLEEVE · 2026-09-30 · Inspire: 50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Retail · NYSE · United States</w:t>
      </w:r>
    </w:p>
    <w:p>
      <w:pPr>
        <w:spacing w:after="80"/>
      </w:pPr>
      <w:r>
        <w:rPr>
          <w:rFonts w:ascii="Calibri" w:hAnsi="Calibri"/>
          <w:b w:val="0"/>
          <w:color w:val="3A4A28"/>
          <w:sz w:val="20"/>
        </w:rPr>
        <w:t>Tanger Inc. is the largest pure-play outlet REIT in the United States, owning and operating 38 outlet centers and four open-air lifestyle centers totaling nearly 17 million square feet across 22 U.S. states and Canada. Founded in 1981 and a publicly traded REIT since 1993, Tanger hosts over 3,000 stores operated by more than 800 brand-name companies. Under CEO Stephen Yalof (appointed January 2021), the company rebranded from Tanger Factory Outlet Centers to Tanger Inc. and expanded into lifestyle retail formats. Q2 2026 EPS was $0.29 (+11.5% YoY) on revenue growth of 11.5%, with the company raising full-year 2026 guidance on record leasing volume.</w:t>
      </w:r>
    </w:p>
    <w:p>
      <w:r>
        <w:rPr>
          <w:rFonts w:ascii="Calibri" w:hAnsi="Calibri"/>
          <w:b/>
          <w:color w:val="6E8450"/>
          <w:sz w:val="18"/>
        </w:rPr>
        <w:t>407 Employees · https://www.tanger.inc</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Tanger executed a meaningful strategic transformation post-COVID, rebranding from Tanger Factory Outlet Centers to Tanger Inc. and expanding beyond pure outlet into open-air lifestyle centers through acquisitions including the Pinecrest mixed-use development [1]. This diversification opened a new revenue stream with a different tenant mix and consumer experience, nearly doubling revenue from COVID lows (~$320M in 2020) to $627M TTM [4]. AI Deployment (0/2): No AI-powered products or services shipping to tenants or shoppers; the company has been adopting AI internally for property management and marketing but reports no measurable AI-driven revenue or cost savings [2]. Market Share (1/2): Tanger is a meaningful player and the largest pure-play outlet REIT, though Simon Property Group's Premium Outlets division operates a larger aggregate outlet portfolio as part of its diversified REIT [1]. Product Pipeline (0/2): No specific next-generation developments announced with named timelines and revenue visibility beyond standard redevelopment pipeline. R&amp;D Intensity (0/1): Not applicable — REITs do not have traditional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Tanger's public positioning centers on being a 'leading owner and operator of outlet and open-air retail shopping destinations' — a factual description of operations rather than a distinctive purpose statement [1]. The company does not articulate a deeper mission or vision beyond operational excellence in retail real estate. Community Impact (1/2): Tanger publishes annual ESG reports, participates in the GRESB Real Estate Assessment, and identifies community involvement as a priority ESG issue with programs including local employment initiatives and community partnerships [3]. However, no specific dollar amounts, distinctive charitable programs, or measurable community impact were identified. Employee Retention (0/2): Glassdoor rating of 3.6/5 with only 51% of employees recommending the company to a friend, below the typical 60-70% threshold [2]. Reviews cite 'unhealthy goals' and emphasis on 'making it happen at the expense of valuing team members,' suggesting below-average employee satisfaction. Insider Buying (0/2): No evidence of meaningful net insider buying by executives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Tanger demonstrates solid operating fundamentals with ROE of 19.4% above the 15% target and profit margin of 20.2% at the 20% target [4]. Revenue growth YoY of 11.5% exceeds the 10% target on record leasing volume and limited new supply [1]. Revenue 5yr CAGR of approximately 9% is strong, reflecting sustained post-COVID recovery. The primary drags are D/E of 278.3%, just below the 300% floor (typical for REITs given asset-heavy balance sheets), and Forward P/E of 29.0x well above the 20x target. The GAAP payout ratio of 109.2% scores 0, though this is characteristic of REITs where depreciation reduces GAAP earnings below distributable cash flow. Consecutive years of dividend payment (5 since 2021 restart) and growth (5 years) score partial credit, while the robust 5yr dividend growth CAGR of ~11.3% scores full marks. The stock clears the liquidity floor with ~$30.9M in daily trading volume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Tanger demonstrates mixed infinite-game characteristics — a 45-year operating history and founding family legacy provide durability, but the company's purpose remains transactional rather than cause-driven. The post-COVID strategic adaptation from pure outlet to broader open-air retail shows some flexibility, and leadership continuity under CEO Stephen Yalof provides stability. However, Glassdoor reviews suggesting 'unhealthy goals' replacing 'community first' indicate finite-game pressures at the operational level, and the company lacks the transformative Just Cause that Sinek would require for an infinite mindset rating.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Tanger exists to operate outlet and open-air shopping destinations — a clear business purpose but not a Just Cause in Sinek's framework. The company's positioning around 'creating great shopping experiences' is interchangeable with any retail REIT [1]. While the 45-year history and founding family involvement suggest genuine commitment to the business, there is no articulated vision of a future state that transcends making money from retail real estate. The rebranding to 'Tanger Inc.' broadened scope but did not introduce a deeper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Tanger maintains a small, stable organization of 407 employees with leadership continuity — CEO Stephen Yalof has served since January 2021 with prior COO experience. However, Glassdoor reviews (3.6/5, 51% recommend) reveal cultural concerns: employees report that 'unhealthy goals' have replaced the former 'community first' culture, with emphasis on 'making it happen at the expense of valuing team members' [2]. This mixed picture suggests adequate organizational stability without the exceptional trust or psychological safety Sinek would expect from an infinite-game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Tanger demonstrates an infinite competitive mindset, acknowledging Simon Property Group's Premium Outlets as a formidable competitor while focusing on its own differentiation through the outlet-specialist positioning and lifestyle center expansion [1]. Management commentary focuses on tenant demand, portfolio quality, and operational excellence rather than market share warfare, suggesting competition is viewed as motivation for self-improvement rather than a finite battle to win.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Tanger has evolved its business model incrementally — expanding from pure outlet to include lifestyle and open-air centers, rebranding to reflect the broader strategy, and adapting to post-COVID retail dynamics [1]. However, these changes were incremental rather than transformative; the core business of owning and leasing retail real estate has not fundamentally changed. The company has not abandoned a core business in service of a higher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Tanger demonstrated courage during COVID by maintaining investment in its portfolio and developing a recovery strategy that led to the dividend restart in 2021, followed by five consecutive years of dividend increases totaling a 71% increase from the initial restart level [1]. The acquisition of lifestyle centers and company rebrand represented strategic risk-taking. However, there is no pattern of systematically sacrificing short-term performance for long-term capability — the decisions were pragmatic growth moves rather than courageous bets against consensus.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Tanger is a well-managed outlet REIT delivering consistent growth — Q2 2026 EPS of $0.29 (+11.5% YoY) on revenue growth of 11.5% demonstrates the strength of the outlet model in a limited-supply environment [1]. Record leasing volume, occupancy above 96%, and same-center NOI growth of 4%+ provide earnings visibility, while the 3.59% dividend yield with 11.3% five-year dividend growth CAGR offers attractive income with real growth. The company's expansion into lifestyle centers broadens the addressable market beyond pure outlet, and the physical nature of the business provides structural resilience against AI and e-commerce disruption. Free cash flow of $228M against a $4.2B market cap represents a healthy 5.4% FCF yield.</w:t>
      </w:r>
    </w:p>
    <w:p>
      <w:pPr>
        <w:spacing w:after="120"/>
      </w:pPr>
      <w:r>
        <w:rPr>
          <w:rFonts w:ascii="Calibri" w:hAnsi="Calibri"/>
          <w:b w:val="0"/>
          <w:color w:val="3A4A28"/>
          <w:sz w:val="20"/>
        </w:rPr>
        <w:t>The bear case centers on valuation, leverage, and structural retail risk. Forward P/E of 29.0x and PEG of 4.14 price Tanger at a premium relative to the broader REIT sector and its own historical range — any deceleration from the current 11.5% revenue growth pace could trigger multiple compression [4]. D/E of 278% reflects significant leverage typical of REITs but leaves limited financial flexibility during downturns, and the GAAP payout ratio above 100% means dividends exceed reported earnings (though FFO-based coverage is healthier). The outlet model, while resilient to e-commerce, faces long-term structural risk as brands build their own direct-to-consumer channels online, potentially reducing demand for physical outlet space. With only 407 employees and a below-average Glassdoor rating (3.6/5, 51% recommend), human capital depth is a concern [2]. The Inspire Impact Score of 50 (ALIGNED) is a positive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leasing volume and occupancy above 96% in a limited-supply environment, with Tanger raising full-year 2026 guidance on strong tenant demand and same-center NOI growth targeting 4%+ [1]</w:t>
      </w:r>
    </w:p>
    <w:p>
      <w:pPr>
        <w:spacing w:before="40" w:after="40"/>
        <w:ind w:left="283"/>
      </w:pPr>
      <w:r>
        <w:rPr>
          <w:rFonts w:ascii="Calibri" w:hAnsi="Calibri"/>
          <w:b/>
          <w:color w:val="4A6B25"/>
          <w:sz w:val="20"/>
        </w:rPr>
        <w:t xml:space="preserve">2. </w:t>
      </w:r>
      <w:r>
        <w:rPr>
          <w:rFonts w:ascii="Calibri" w:hAnsi="Calibri"/>
          <w:b w:val="0"/>
          <w:color w:val="3A4A28"/>
          <w:sz w:val="20"/>
        </w:rPr>
        <w:t>Dividend growth trajectory of 7% annual increases supported by strong FFO coverage, with the dividend having grown 71% from the 2021 restart level, creating a compelling income growth story at 3.59% current yield [1]</w:t>
      </w:r>
    </w:p>
    <w:p>
      <w:pPr>
        <w:spacing w:before="40" w:after="40"/>
        <w:ind w:left="283"/>
      </w:pPr>
      <w:r>
        <w:rPr>
          <w:rFonts w:ascii="Calibri" w:hAnsi="Calibri"/>
          <w:b/>
          <w:color w:val="4A6B25"/>
          <w:sz w:val="20"/>
        </w:rPr>
        <w:t xml:space="preserve">3. </w:t>
      </w:r>
      <w:r>
        <w:rPr>
          <w:rFonts w:ascii="Calibri" w:hAnsi="Calibri"/>
          <w:b w:val="0"/>
          <w:color w:val="3A4A28"/>
          <w:sz w:val="20"/>
        </w:rPr>
        <w:t>Lifestyle center expansion beyond pure outlet diversifies tenant mix and revenue streams, with Pinecrest and Bridge Street developments demonstrating the viability of the broader open-air strategy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Elevated D/E of 278% and GAAP payout ratio above 100% leave limited financial flexibility — a cyclical downturn in retail or rising interest rates could pressure the balance sheet and force dividend cuts [4]</w:t>
      </w:r>
    </w:p>
    <w:p>
      <w:pPr>
        <w:spacing w:before="40" w:after="40"/>
        <w:ind w:left="283"/>
      </w:pPr>
      <w:r>
        <w:rPr>
          <w:rFonts w:ascii="Calibri" w:hAnsi="Calibri"/>
          <w:b/>
          <w:color w:val="4A6B25"/>
          <w:sz w:val="20"/>
        </w:rPr>
        <w:t xml:space="preserve">2. </w:t>
      </w:r>
      <w:r>
        <w:rPr>
          <w:rFonts w:ascii="Calibri" w:hAnsi="Calibri"/>
          <w:b w:val="0"/>
          <w:color w:val="3A4A28"/>
          <w:sz w:val="20"/>
        </w:rPr>
        <w:t>Long-term structural risk as brands accelerate direct-to-consumer online channels, potentially reducing demand for physical outlet space where brands clear excess inventory — outlet traffic could face secular pressure even if near-term leasing demand remains strong</w:t>
      </w:r>
    </w:p>
    <w:p>
      <w:pPr>
        <w:spacing w:before="40" w:after="40"/>
        <w:ind w:left="283"/>
      </w:pPr>
      <w:r>
        <w:rPr>
          <w:rFonts w:ascii="Calibri" w:hAnsi="Calibri"/>
          <w:b/>
          <w:color w:val="4A6B25"/>
          <w:sz w:val="20"/>
        </w:rPr>
        <w:t xml:space="preserve">3. </w:t>
      </w:r>
      <w:r>
        <w:rPr>
          <w:rFonts w:ascii="Calibri" w:hAnsi="Calibri"/>
          <w:b w:val="0"/>
          <w:color w:val="3A4A28"/>
          <w:sz w:val="20"/>
        </w:rPr>
        <w:t>Premium valuation at 29.0x forward P/E and PEG of 4.14 prices in sustained growth that may not materialize if consumer spending weakens or new outlet supply enters the market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Tanger's core business — owning and operating physical outlet and open-air shopping centers — is structurally protected from AI disruption. AI cannot replicate the in-person 'treasure hunt' shopping experience, tenant-landlord relationships, or the physical real estate infrastructure that generates rental income [1]. Outlet centers have proven relatively resilient to e-commerce because they serve as brand direct-to-consumer channels with experiential retail components that complement online shopping. However, AI-enhanced e-commerce and virtual try-on technologies could incrementally reduce foot traffic over time, preventing an IMMUNE rating. Analysts do not flag AI as a meaningful risk factor for outlet REITs. AI Opportunity (0/1): Tanger is adopting AI internally for marketing and property management but generates no quantifiable revenue from AI products or services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Tanger Q2 2026 Earnings Release — EPS $0.29 (+11.5% YoY), Revenue Growth 11.5%, Increased Full-Year 2026 Guidance, Record Leasing Volume, August 2026</w:t>
      </w:r>
    </w:p>
    <w:p>
      <w:pPr>
        <w:spacing w:before="20" w:after="20"/>
        <w:ind w:left="170"/>
      </w:pPr>
      <w:r>
        <w:rPr>
          <w:rFonts w:ascii="Calibri" w:hAnsi="Calibri"/>
          <w:b/>
          <w:color w:val="4A6B25"/>
          <w:sz w:val="15"/>
        </w:rPr>
        <w:t xml:space="preserve">2. </w:t>
      </w:r>
      <w:r>
        <w:rPr>
          <w:rFonts w:ascii="Calibri" w:hAnsi="Calibri"/>
          <w:b w:val="0"/>
          <w:color w:val="3A4A28"/>
          <w:sz w:val="17"/>
        </w:rPr>
        <w:t>Tanger Leadership and Culture — CEO Stephen Yalof (January 2021), Glassdoor 3.6/5 (51% recommend), AI adoption in operations — Glassdoor, LinkedIn, August 2026</w:t>
      </w:r>
    </w:p>
    <w:p>
      <w:pPr>
        <w:spacing w:before="20" w:after="20"/>
        <w:ind w:left="170"/>
      </w:pPr>
      <w:r>
        <w:rPr>
          <w:rFonts w:ascii="Calibri" w:hAnsi="Calibri"/>
          <w:b/>
          <w:color w:val="4A6B25"/>
          <w:sz w:val="15"/>
        </w:rPr>
        <w:t xml:space="preserve">3. </w:t>
      </w:r>
      <w:r>
        <w:rPr>
          <w:rFonts w:ascii="Calibri" w:hAnsi="Calibri"/>
          <w:b w:val="0"/>
          <w:color w:val="3A4A28"/>
          <w:sz w:val="17"/>
        </w:rPr>
        <w:t>Tanger ESG Reports — Annual ESG Reporting, GRESB Participation, Community Involvement Priority, TCFD/SASB Alignment — Tanger Investor Relations, 2021-2023</w:t>
      </w:r>
    </w:p>
    <w:p>
      <w:pPr>
        <w:spacing w:before="20" w:after="20"/>
        <w:ind w:left="170"/>
      </w:pPr>
      <w:r>
        <w:rPr>
          <w:rFonts w:ascii="Calibri" w:hAnsi="Calibri"/>
          <w:b/>
          <w:color w:val="4A6B25"/>
          <w:sz w:val="15"/>
        </w:rPr>
        <w:t xml:space="preserve">4. </w:t>
      </w:r>
      <w:r>
        <w:rPr>
          <w:rFonts w:ascii="Calibri" w:hAnsi="Calibri"/>
          <w:b w:val="0"/>
          <w:color w:val="3A4A28"/>
          <w:sz w:val="17"/>
        </w:rPr>
        <w:t>Yahoo Finance — SKT Key Statistics: Forward P/E 28.99x, ROE 19.4%, D/E 278.3%, Profit Margin 20.2%, Dividend Yield 3.59%, Stock Price $34.86,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