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SLB</w:t>
      </w:r>
      <w:r>
        <w:rPr>
          <w:rFonts w:ascii="Calibri" w:hAnsi="Calibri"/>
          <w:b/>
          <w:color w:val="1A2010"/>
          <w:sz w:val="40"/>
        </w:rPr>
        <w:t xml:space="preserve">  SLB N.V.</w:t>
      </w:r>
    </w:p>
    <w:p>
      <w:pPr>
        <w:spacing w:after="120"/>
      </w:pPr>
      <w:r>
        <w:rPr>
          <w:rFonts w:ascii="Calibri" w:hAnsi="Calibri"/>
          <w:b/>
          <w:color w:val="6E8450"/>
          <w:sz w:val="18"/>
        </w:rPr>
        <w:t>DIVIDEND SLEEVE · 2026-10-04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SLB N.V. (formerly Schlumberger Limited) is the world's largest oilfield services company, operating through four divisions: Digital &amp; Integration, Reservoir Performance, Well Construction, and Production Systems. The company provides technology-driven solutions across the energy lifecycle including drilling, completion, production, carbon management, data center cooling/power solutions, and digital platforms. Founded in 1926, headquartered in Houston, Texas, with 109,000 employees in 100+ countries. Q2 2026 revenue reached $8.97B with Data Center Solutions surging 80% YoY.</w:t>
      </w:r>
    </w:p>
    <w:p>
      <w:r>
        <w:rPr>
          <w:rFonts w:ascii="Calibri" w:hAnsi="Calibri"/>
          <w:b/>
          <w:color w:val="6E8450"/>
          <w:sz w:val="18"/>
        </w:rPr>
        <w:t>109,000 Employees · https://www.slb.com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SLB completed the $7.8B ChampionX acquisition adding production chemicals and artificial lift, rebranded from Schlumberger to SLB N.V. in October 2025 to signal its evolution from oilfield services to energy technology, and launched Data Center Solutions leveraging industrial cooling and power management expertise for AI infrastructure [1][2]. Multiple significant strategic moves in a 2-year window represent a company actively reshaping its identity. AI Deployment (2/2): SLB's DELFI cloud platform and Lumi AI engine deploy AI for autonomous drilling guidance, real-time subsurface interpretation, and reservoir optimization — these are commercial AI products generating revenue through the Digital &amp; Integration division (~$4B annual revenue), used by 85 of the top 100 global oil producers [1][2]. Market Share (2/2): SLB is the undisputed global leader in oilfield services at $36.4B TTM revenue, maintaining category dominance across wireline, drilling fluids, and subsea systems through OneSubsea, substantially ahead of Halliburton (~$22B) and Baker Hughes (~$27B) [1]. Product Pipeline (1/2): Data Center Solutions revenue surged 33% sequentially and approximately 80% YoY in Q1 2026 with Digital ARR exceeding $1B (up 15% YoY), but specific named next-gen products with launch dates beyond existing platform evolution were not identified [1]. R&amp;D Intensity (1/1): SLB's R&amp;D spending is at the top of the oilfield services sector, supporting four-division technology development, DELFI/Lumi AI platforms, and 22,000+ patents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SLB's purpose of 'driving energy innovation for a balanced planet' is specific and thoughtful, reflecting genuine intentionality about the company's role in the energy transition beyond traditional oilfield services [2]. CEO Le Peuch consistently references this purpose in strategic decisions including carbon capture expansion, Data Center Solutions entry, and the October 2025 rebranding. The purpose differentiates from peers and shapes actual business decisions. Community Impact (1/2): SLB was the first upstream E&amp;P services company to commit to science-based emissions targets, ties 10% of executive compensation to quantitative ESG metrics (emissions intensity reduction, gender diversity), and holds MSCI ESG rating of AA with Sustainalytics risk score of 20 (Low Controversy) [3]. However, specific charitable giving dollar amounts were not prominently disclosed. Employee Retention (1/2): CEO Le Peuch has provided stable leadership since August 2019 and the company invests in training and development programs across 100+ countries [2]. However, Glassdoor reviews describe a high-pressure, performance-driven culture with mixed sentiment, and no specific retention or voluntary turnover data was found for the 109,000-person workforce. Insider Buying (0/2): Insider ownership at approximately 0.22% with no evidence of meaningful net insider buying by CEO Le Peuch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D/E of 47.0% is well below the 70% target, scoring 1.0 [4]. ROE of 12.9% approaches but falls short of the 15% target, scoring 0.86 [4]. Revenue growth YoY of 5% scores 0.83 against the 10% target (Q2 2026 at $8.97B, up 5% YoY) [1]. Revenue 5yr CAGR of approximately 9.7% (from ~$22.9B in 2021 to $36.4B TTM) scores 0.98 [1]. Forward P/E of 15.19 is well within the 20x target, scoring 1.0 [4]. Profit margin of 8.53% is below the 20% target, scoring 0.43 [4]. Dividend profile: payout ratio of 56.59% scores 0.72, 50+ consecutive years paid scores 1.0 at 2x weight (reduced but never suspended in 2020), 5 consecutive years of growth (rebuilding from the 2020 cut) scores 0.50, and 5yr dividend growth CAGR of approximately 18.7% ($0.50 to $1.18 annualized) scores 1.0 at 2x weight. Weighted sum 10.32 / max 12.0 = 8.6, rounds to 9. Liquidity is exceptional: 12.7M avg volume x $48.74 = $619M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SLB under CEO Olivier Le Peuch demonstrates stronger infinite game characteristics than most oilfield services peers. The rebranding from Schlumberger to SLB, the 'driving energy innovation for a balanced planet' purpose, and strategic expansion into carbon management, digital platforms, and Data Center Solutions signal a company thinking beyond the current oil cycle. Le Peuch has articulated a genuine vision of SLB as an energy technology company rather than just an oilfield services provider. However, the core business remains cyclical and vulnerable to the finite pressures of commodity pricing, and competitive language still centers on market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SLB's purpose of 'driving energy innovation for a balanced planet' is a genuine cause connecting the company's work to the energy transition and broader societal impact [2]. Le Peuch references this purpose in strategic decisions, and the October 2025 rebranding was explicitly positioned as reflecting the company's evolution. Expansion into carbon capture (SLB Capturi) and Data Center Solutions demonstrates purpose shaping business strategy. However, SLB has not yet been tested through a crisis where the Just Cause conflicted with near-term profitability.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SLB maintains 109,000 employees across 100+ countries with a decentralized structure empowering local teams [2]. CEO Le Peuch's 7+ year tenure provides organizational stability, and the company invests in training and leadership development programs. However, Glassdoor reviews describe a performance-driven, high-pressure culture with hierarchical management structures, and cyclical workforce reductions undermine psychological safety. No specific retention or voluntary turnover data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SLB's competitive language under Le Peuch focuses on redefining the energy technology category rather than defeating Halliburton or Baker Hughes [2]. The company positions itself as building new markets (Data Center Solutions, carbon capture) rather than fighting for share in existing ones. Management commentary emphasizes learning from the broader technology ecosystem, including hyperscalers and AI companies, framing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SLB has meaningfully evolved from pure oilfield services into digital platforms (DELFI, Lumi with ARR &gt;$1B), carbon management (SLB Capturi), production chemicals (ChampionX acquisition), and AI data center infrastructure (Data Center Solutions surging 80% YoY) [1][2]. These represent genuine adaptation to the energy transition. However, core oilfield services remains ~95% of total revenue — the new businesses are growing rapidly but have not yet required abandoning a profitable legacy operation.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 Peuch invested in digital transformation during the 2020 oil price collapse, committed to science-based emissions targets when peers hesitated, tied 10% of executive compensation to ESG metrics, and entered the Data Center Solutions market — a bold adjacency for an oilfield company [1][3]. The disciplined dividend rebuild ($0.50 to $1.18 annualized over 5 years) rather than immediate restoration shows strategic patience. However, these moves were made from a position of strength ($3.0B annual FCF) rather than true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SLB is the world's largest and most technologically diversified energy services company, with $36.4B TTM revenue, $3.0B free cash flow, and a strategic vision under CEO Le Peuch expanding the addressable market into AI infrastructure [1][2]. Q2 2026 delivered $8.97B revenue (up 5% YoY) with Production Systems margins exceeding 20% and Digital margins reaching 35%, demonstrating successful migration toward higher-margin technology services [1]. Data Center Solutions emerged as a standout growth engine, surging 80% YoY with a path to $2B+ annualized run rate by 2027 — leveraging SLB's industrial cooling and power management expertise for AI data centers. At $48.74 with a 15.2x forward P/E, the stock offers reasonable valuation for a company diversifying from cyclical oilfield services into structural AI infrastructure demand, with a 2.42% dividend yield and 50+ year payment history providing income stability [4].</w:t>
      </w:r>
    </w:p>
    <w:p>
      <w:pPr>
        <w:spacing w:after="120"/>
      </w:pPr>
      <w:r>
        <w:rPr>
          <w:rFonts w:ascii="Calibri" w:hAnsi="Calibri"/>
          <w:b w:val="0"/>
          <w:color w:val="3A4A28"/>
          <w:sz w:val="20"/>
        </w:rPr>
        <w:t>The bear case centers on cyclical exposure and margin pressure. GAAP EPS of $0.52 in Q2 2026 declined 30% YoY despite 5% revenue growth, reflecting margin compression from ChampionX integration costs and revenue mix shifts [1]. Profit margin of 8.53% remains structurally below the 20% target, constrained by the capital-intensive nature of physical services operations [4]. The payout ratio of 56.59% is elevated for a cyclical business — the 2020 dividend cut from $2.00 to $0.50 (75% reduction) demonstrated that payouts are not recession-proof, and the current $1.18 annualized dividend has not recovered to pre-cut levels. Revenue growth has decelerated to low-single-digits (3-5% YoY) as the post-pandemic oilfield activity recovery plateaus, with Middle East geopolitical disruptions adding quarterly volatility to Q1 2026 results [1]. With $12.8B in total debt and a beta of 0.77, any sustained decline in global E&amp;P spending would pressure both earnings and the dividend rebuild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Solutions revenue surging 80% YoY with path to $2B+ annualized run rate by 2027, transforming SLB from a pure oilfield services company into an AI infrastructure provider leveraging existing cooling and power management expertise [1]</w:t>
      </w:r>
    </w:p>
    <w:p>
      <w:pPr>
        <w:spacing w:before="40" w:after="40"/>
        <w:ind w:left="283"/>
      </w:pPr>
      <w:r>
        <w:rPr>
          <w:rFonts w:ascii="Calibri" w:hAnsi="Calibri"/>
          <w:b/>
          <w:color w:val="4A6B25"/>
          <w:sz w:val="20"/>
        </w:rPr>
        <w:t xml:space="preserve">2. </w:t>
      </w:r>
      <w:r>
        <w:rPr>
          <w:rFonts w:ascii="Calibri" w:hAnsi="Calibri"/>
          <w:b w:val="0"/>
          <w:color w:val="3A4A28"/>
          <w:sz w:val="20"/>
        </w:rPr>
        <w:t>Digital ARR exceeding $1B with 15% YoY growth and 35% margins — as digital becomes a larger revenue share, it should structurally lift blended margins above the current 8.53% profit margin [1]</w:t>
      </w:r>
    </w:p>
    <w:p>
      <w:pPr>
        <w:spacing w:before="40" w:after="40"/>
        <w:ind w:left="283"/>
      </w:pPr>
      <w:r>
        <w:rPr>
          <w:rFonts w:ascii="Calibri" w:hAnsi="Calibri"/>
          <w:b/>
          <w:color w:val="4A6B25"/>
          <w:sz w:val="20"/>
        </w:rPr>
        <w:t xml:space="preserve">3. </w:t>
      </w:r>
      <w:r>
        <w:rPr>
          <w:rFonts w:ascii="Calibri" w:hAnsi="Calibri"/>
          <w:b w:val="0"/>
          <w:color w:val="3A4A28"/>
          <w:sz w:val="20"/>
        </w:rPr>
        <w:t>ChampionX integration delivering production chemical synergies while diversifying revenue toward recurring streams less sensitive to drilling cycle volatility, combined with continued aggressive dividend growth (5yr CAGR 18.7%)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EPS down 30% YoY in Q2 2026 despite revenue growth — margin compression from revenue mix shift, ChampionX integration costs, and wage inflation in the 109,000-person workforce could persist through 2026-2027 [1]</w:t>
      </w:r>
    </w:p>
    <w:p>
      <w:pPr>
        <w:spacing w:before="40" w:after="40"/>
        <w:ind w:left="283"/>
      </w:pPr>
      <w:r>
        <w:rPr>
          <w:rFonts w:ascii="Calibri" w:hAnsi="Calibri"/>
          <w:b/>
          <w:color w:val="4A6B25"/>
          <w:sz w:val="20"/>
        </w:rPr>
        <w:t xml:space="preserve">2. </w:t>
      </w:r>
      <w:r>
        <w:rPr>
          <w:rFonts w:ascii="Calibri" w:hAnsi="Calibri"/>
          <w:b w:val="0"/>
          <w:color w:val="3A4A28"/>
          <w:sz w:val="20"/>
        </w:rPr>
        <w:t>Organic oilfield services revenue growth decelerating to low-single-digits (3-5% YoY) as the post-pandemic upstream capex recovery cycle matures, with Middle East geopolitical disruptions adding unpredictable quarterly volatility [1]</w:t>
      </w:r>
    </w:p>
    <w:p>
      <w:pPr>
        <w:spacing w:before="40" w:after="40"/>
        <w:ind w:left="283"/>
      </w:pPr>
      <w:r>
        <w:rPr>
          <w:rFonts w:ascii="Calibri" w:hAnsi="Calibri"/>
          <w:b/>
          <w:color w:val="4A6B25"/>
          <w:sz w:val="20"/>
        </w:rPr>
        <w:t xml:space="preserve">3. </w:t>
      </w:r>
      <w:r>
        <w:rPr>
          <w:rFonts w:ascii="Calibri" w:hAnsi="Calibri"/>
          <w:b w:val="0"/>
          <w:color w:val="3A4A28"/>
          <w:sz w:val="20"/>
        </w:rPr>
        <w:t>Oil price sensitivity remains structurally embedded — any sustained decline below $60/bbl WTI would trigger upstream capex cuts across SLB's customer base, risking a repeat of the 2020 dividend cut (75% reduction) given the elevated 56.59% payout ratio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SLB's core business — physical oilfield services including drilling, completions, subsea production, and wireline operations — requires heavy equipment and specialized crews operating in extreme downhole environments that AI cannot substitute [1][2]. The 109,000-person workforce operates across 100+ countries in physically demanding conditions. AI enhances SLB's business: DELFI and Lumi improve drilling efficiency and reservoir characterization, while the new Data Center Solutions business (cooling and power management for AI infrastructure) means AI buildout directly increases SLB revenue, surging 80% YoY in Q1 2026 with a path to $2B+ annualized by 2027 [1]. Score 8 rather than 9 because AI-driven drilling efficiency could modestly reduce total service hours per well over time. AI Opportunity (1/1): SLB generates meaningful AI revenue through the Digital &amp; Integration division (~$4B annual revenue) including DELFI/Lumi AI products used by 85 of the top 100 global producers, plus Data Center Solutions directly serving AI infrastructure demand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SLB Q1-Q2 2026 Earnings Releases — Q1 $8.72B revenue up 3% YoY, Q2 $8.97B up 5% YoY, Data Center Solutions up 80% YoY, Digital ARR &gt;$1B, April-July 2026</w:t>
      </w:r>
    </w:p>
    <w:p>
      <w:pPr>
        <w:spacing w:before="20" w:after="20"/>
        <w:ind w:left="170"/>
      </w:pPr>
      <w:r>
        <w:rPr>
          <w:rFonts w:ascii="Calibri" w:hAnsi="Calibri"/>
          <w:b/>
          <w:color w:val="4A6B25"/>
          <w:sz w:val="15"/>
        </w:rPr>
        <w:t xml:space="preserve">2. </w:t>
      </w:r>
      <w:r>
        <w:rPr>
          <w:rFonts w:ascii="Calibri" w:hAnsi="Calibri"/>
          <w:b w:val="0"/>
          <w:color w:val="3A4A28"/>
          <w:sz w:val="17"/>
        </w:rPr>
        <w:t>Wedbush Research — 'Energy Tech Giant: In-Depth Report on SLB in 2026,' DELFI/Lumi AI platform, 22,000+ patents, digital transformation, January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Finance/Sustainalytics — SLB ESG Risk Score 20 (Medium), Low Controversy Level, MSCI AA rating, 10% exec comp tied to ESG,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SLB Key Statistics, Dividend History, Financial Ratios,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