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SLMT</w:t>
      </w:r>
      <w:r>
        <w:rPr>
          <w:rFonts w:ascii="Calibri" w:hAnsi="Calibri"/>
          <w:b/>
          <w:color w:val="1A2010"/>
          <w:sz w:val="40"/>
        </w:rPr>
        <w:t xml:space="preserve">  Brera Holdings PLC (d/b/a Solmate Infrastructure)</w:t>
      </w:r>
    </w:p>
    <w:p>
      <w:pPr>
        <w:spacing w:after="120"/>
      </w:pPr>
      <w:r>
        <w:rPr>
          <w:rFonts w:ascii="Calibri" w:hAnsi="Calibri"/>
          <w:b/>
          <w:color w:val="6E8450"/>
          <w:sz w:val="18"/>
        </w:rPr>
        <w:t>GROWTH SLEEVE · 2026-09-29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27</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Software - Infrastructure · NASDAQ · Ireland</w:t>
      </w:r>
    </w:p>
    <w:p>
      <w:pPr>
        <w:spacing w:after="80"/>
      </w:pPr>
      <w:r>
        <w:rPr>
          <w:rFonts w:ascii="Calibri" w:hAnsi="Calibri"/>
          <w:b w:val="0"/>
          <w:color w:val="3A4A28"/>
          <w:sz w:val="20"/>
        </w:rPr>
        <w:t>Brera Holdings PLC, operating as Solmate Infrastructure, abandoned its original social-impact multi-club football ownership business in 2025 to become a Solana-focused digital asset treasury (DAT) and crypto staking infrastructure company based in Abu Dhabi. Following a $300M PIPE backed by the Solana Foundation, ARK Invest, RockawayX, and Pulsar Group, the company accumulates and stakes SOL while retaining a residual football portfolio. The company faces a Nasdaq delisting notice (April 2026) for failing the $1.00 minimum bid price, terminated the proposed RockawayX acquisition over 'material inconsistencies and omissions' in financial representations, and appointed Ron Sade as CEO effective May 2026 after terminating prior CEO Marco Santori [1][2][3].</w:t>
      </w:r>
    </w:p>
    <w:p>
      <w:r>
        <w:rPr>
          <w:rFonts w:ascii="Calibri" w:hAnsi="Calibri"/>
          <w:b/>
          <w:color w:val="6E8450"/>
          <w:sz w:val="18"/>
        </w:rPr>
        <w:t>34 Employees · https://www.breraholdings.com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The company executed a complete business-model abandonment — from social-impact football to a Solana digital asset treasury — via a $300M PIPE in September 2025. This dramatic pivot has so far destroyed value: FY2025 net losses exploded and the stock required reverse splits to maintain listing, and the proposed RockawayX acquisition was terminated after Brera's directors found 'material inconsistencies and omissions' in RockawayX's EBITDA figures and financial representations [1][3]. AI Deployment (0/2): Marketing references 'DeFi, NFTs, and AI' as target markets for Solana adoption, but no AI product has shipped and no quantified AI-driven revenue was found [2]. Market Share (0/2): An undifferentiated, micro-scale entrant in a crowded field of Solana staking vehicles with no claimed market share. Product Pipeline (1/2): A planned series of SOL purchases and a Kraken Institutional staking partnership announced July 2026 to 'enhance staking economics' provide some forward visibility, but without specific revenue targets [1][2]. R&amp;D Intensity (0/1): No R&amp;D spend disclosed; the company is a treasury/staking vehicle, not a product developer.</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The prior social-impact football mission was distinctive but abandoned entirely for 'drive shareholder value through accumulation and staking of SOL' — a textbook interchangeable capital-markets mission, not a purpose [1][2]. Community Impact (1/2): Legacy ESG programming (Brera Tchumene FC social-impact initiative in Mozambique) exists in the record but is being deprioritized as the company pivots toward capital-markets engineering over sports management [4]. Employee Retention (0/2): Complete C-suite turnover: CEO Marco Santori was terminated April 24, 2026, replaced by Ron Sade effective May 1, 2026. Average management tenure is 0.4 years and average board tenure is 1.9 years — an organization in perpetual reset, not stability [2]. Insider Buying (0/2): No evidence of net insider buying; instead, insider-controlled votes authorized 10 billion new Class B shares and a five-year extension of board share-issuance authority — a severe dilution risk for minority shareholders [4].</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LIQUIDITY FLOOR TRIGGERED: avg_daily_volume (87,467 shares) x stock_price ($4.39) = approximately $384,000, far below the $1,000,000 minimum required, so Infrastructure is automatically scored 0 regardless of other metrics [5]. For reference, ROE is deeply negative at -795.8% reflecting massive cumulative losses on a thin equity base. Revenue growth of 841% is from a near-zero base (crypto marks and staking revenue rather than operating performance). The company received a Nasdaq staff determination to delist its shares in April 2026 after failing the $1.00 minimum bid price for 30 consecutive business days — a listing-survival crisis layered on top of the liquidity shortfall [3]. No P/E ratio or forward P/E is available given ongoing losses.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1</w:t>
      </w:r>
      <w:r>
        <w:rPr>
          <w:rFonts w:ascii="Calibri" w:hAnsi="Calibri"/>
          <w:b w:val="0"/>
          <w:color w:val="9DAF88"/>
          <w:sz w:val="18"/>
        </w:rPr>
        <w:t xml:space="preserve"> /10</w:t>
      </w:r>
    </w:p>
    <w:p>
      <w:pPr>
        <w:spacing w:after="120"/>
      </w:pPr>
      <w:r>
        <w:rPr>
          <w:rFonts w:ascii="Calibri" w:hAnsi="Calibri"/>
          <w:b w:val="0"/>
          <w:color w:val="3A4A28"/>
          <w:sz w:val="18"/>
        </w:rPr>
        <w:t>Solmate is a textbook finite player in Sinek's framework: it abandoned its original stated cause within two years of going public, chasing the Solana treasury narrative for capital-markets upside. The 10-billion-share dilution authorization, complete leadership turnover (CEO fired April 2026), terminated RockawayX acquisition over financial discrepancies, Nasdaq delisting notice, activist shareholder RBCH seeking board overhaul, and repeated near-total stock collapses all point to a company optimizing for the next financing round rather than pursuing a cause built to endure [1][2][3][4].</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No surviving Just Cause. The original social-impact football purpose was abandoned entirely for a Solana accumulation strategy whose explicit goal is 'drive shareholder value' — a finite, quarterly capital-markets objective [1][2]. The complete mission abandonment within two years demonstrates the original cause was a marketing wrapper, not a deeply held purpose.</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CEO Marco Santori was terminated April 24, 2026 and replaced by Ron Sade effective May 1, 2026. Average management tenure is 0.4 years and board tenure 1.9 years — an organization in perpetual crisis management. The 10-billion-share Class B authorization pushed through by insider-controlled votes over minority objection, combined with activist shareholder RBCH seeking a complete board overhaul over 'governance and valuation concerns,' indicate zero organizational trust [2][4].</w:t>
      </w:r>
    </w:p>
    <w:p>
      <w:pPr>
        <w:spacing w:before="200" w:after="40"/>
      </w:pPr>
      <w:r>
        <w:rPr>
          <w:rFonts w:ascii="Calibri" w:hAnsi="Calibri"/>
          <w:b/>
          <w:color w:val="1A2010"/>
          <w:sz w:val="22"/>
        </w:rPr>
        <w:t>Worthy Rivals</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 learning-oriented competitive stance. Company communications focus on SOL accumulation milestones and staking partnerships rather than acknowledging what competitors do better. The company operates in a space (Solana staking) with numerous competitors but frames no rival as worthy of learning from.</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football-to-crypto pivot is dramatic in scope, but was undertaken under financial duress — chasing the most capital-available narrative via a $300M PIPE rather than in service of a pre-existing Just Cause. The subsequent value destruction (stock collapses, reverse splits, Nasdaq delisting notice) demonstrates this was opportunistic narrative-chasing, not the purpose-driven reinvention Sinek admires [1][3].</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evidence of leadership sacrificing near-term results for long-term capability. The pattern is purely reactive: a rebrand and PIPE financing chasing a hot crypto narrative, then a CEO firing when strategy underperformed, then a terminated acquisition over financial discrepancies, then dilutive share authorizations to keep the vehicle capitalized, all while facing Nasdaq delisting [1][2][3].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The only bull case rests on leveraged SOL exposure: Brera/Solmate held approximately 1.24M SOL plus cash and crypto-related securities, and a Kraken Institutional staking partnership could generate recurring revenue from staking yield [1][2]. New CEO Ron Sade has stated the company holds $120M+ in assets after cost cuts. For investors seeking public-market SOL exposure via an equity wrapper, SLMT is one of few options — albeit a deeply flawed one. The stock price of $4.39 with daily volume now at ~87K shares (up from ~24K previously) shows marginally improved but still inadequate liquidity.</w:t>
      </w:r>
    </w:p>
    <w:p>
      <w:pPr>
        <w:spacing w:after="120"/>
      </w:pPr>
      <w:r>
        <w:rPr>
          <w:rFonts w:ascii="Calibri" w:hAnsi="Calibri"/>
          <w:b w:val="0"/>
          <w:color w:val="3A4A28"/>
          <w:sz w:val="20"/>
        </w:rPr>
        <w:t>The bear case overwhelmingly dominates. SLMT received a Nasdaq delisting notice in April 2026 for failing the $1.00 minimum bid price — an existential listing-survival crisis [3]. The company terminated its proposed RockawayX acquisition after finding 'material inconsistencies and omissions' in financial representations, while activist shareholder RBCH disputes Brera's claims and seeks a complete board overhaul over 'governance and valuation concerns' [3][4]. ROE of -795.8% reflects massive cumulative losses on a thin equity base, and insider-controlled votes have authorized 10 billion new Class B shares, creating severe dilution overhang for minority shareholders. Average daily dollar volume of approximately $384,000 fails IOWN's $1M liquidity floor. This is a speculative shell with governance crises on multiple fronts — untouchable for institutional or faith-aligned portfolios.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SOL price appreciation would directly increase the mark-to-market value of the treasury and could narrow the gap between share price and stated mNAV</w:t>
      </w:r>
    </w:p>
    <w:p>
      <w:pPr>
        <w:spacing w:before="40" w:after="40"/>
        <w:ind w:left="283"/>
      </w:pPr>
      <w:r>
        <w:rPr>
          <w:rFonts w:ascii="Calibri" w:hAnsi="Calibri"/>
          <w:b/>
          <w:color w:val="4A6B25"/>
          <w:sz w:val="20"/>
        </w:rPr>
        <w:t xml:space="preserve">2. </w:t>
      </w:r>
      <w:r>
        <w:rPr>
          <w:rFonts w:ascii="Calibri" w:hAnsi="Calibri"/>
          <w:b w:val="0"/>
          <w:color w:val="3A4A28"/>
          <w:sz w:val="20"/>
        </w:rPr>
        <w:t>Kraken Institutional staking partnership, if it delivers enhanced staking economics, could generate the company's first quantifiable recurring revenue stream [1]</w:t>
      </w:r>
    </w:p>
    <w:p>
      <w:pPr>
        <w:spacing w:before="40" w:after="40"/>
        <w:ind w:left="283"/>
      </w:pPr>
      <w:r>
        <w:rPr>
          <w:rFonts w:ascii="Calibri" w:hAnsi="Calibri"/>
          <w:b/>
          <w:color w:val="4A6B25"/>
          <w:sz w:val="20"/>
        </w:rPr>
        <w:t xml:space="preserve">3. </w:t>
      </w:r>
      <w:r>
        <w:rPr>
          <w:rFonts w:ascii="Calibri" w:hAnsi="Calibri"/>
          <w:b w:val="0"/>
          <w:color w:val="3A4A28"/>
          <w:sz w:val="20"/>
        </w:rPr>
        <w:t>Successful Nasdaq compliance appeal and/or reverse split could stabilize the listing, though likely at the cost of further shareholder dilution given the 10-billion share authorization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Nasdaq delisting notice (April 2026) for failing $1.00 minimum bid price creates an existential listing-survival risk — delisting would eliminate most institutional and retail access to the stock [3]</w:t>
      </w:r>
    </w:p>
    <w:p>
      <w:pPr>
        <w:spacing w:before="40" w:after="40"/>
        <w:ind w:left="283"/>
      </w:pPr>
      <w:r>
        <w:rPr>
          <w:rFonts w:ascii="Calibri" w:hAnsi="Calibri"/>
          <w:b/>
          <w:color w:val="4A6B25"/>
          <w:sz w:val="20"/>
        </w:rPr>
        <w:t xml:space="preserve">2. </w:t>
      </w:r>
      <w:r>
        <w:rPr>
          <w:rFonts w:ascii="Calibri" w:hAnsi="Calibri"/>
          <w:b w:val="0"/>
          <w:color w:val="3A4A28"/>
          <w:sz w:val="20"/>
        </w:rPr>
        <w:t>10 billion authorized Class B shares plus insider-controlled voting create severe, structural dilution risk, compounded by activist shareholder RBCH seeking a board overhaul over governance concerns [4]</w:t>
      </w:r>
    </w:p>
    <w:p>
      <w:pPr>
        <w:spacing w:before="40" w:after="40"/>
        <w:ind w:left="283"/>
      </w:pPr>
      <w:r>
        <w:rPr>
          <w:rFonts w:ascii="Calibri" w:hAnsi="Calibri"/>
          <w:b/>
          <w:color w:val="4A6B25"/>
          <w:sz w:val="20"/>
        </w:rPr>
        <w:t xml:space="preserve">3. </w:t>
      </w:r>
      <w:r>
        <w:rPr>
          <w:rFonts w:ascii="Calibri" w:hAnsi="Calibri"/>
          <w:b w:val="0"/>
          <w:color w:val="3A4A28"/>
          <w:sz w:val="20"/>
        </w:rPr>
        <w:t>Terminated RockawayX acquisition over 'material inconsistencies' in financial representations raises fundamental questions about management's due diligence capabilities and the integrity of the company's strategic partners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Solmate's core activity — Solana blockchain staking, validation, and treasury management — is a consensus/cryptographic infrastructure function that AI cannot structurally displace. Blockchain security depends on cryptographic proofs and validator economics, not the pattern-recognition capabilities that AI excels at. The company's existential risks are SOL price volatility, dilution, governance failure, and Nasdaq delisting — not AI substitution [1][3]. No analyst commentary flags AI disruption risk for staking infrastructure. AI Opportunity (0/1): Company materials reference targeting 'DeFi, NFTs, and AI' institutional adoption on Solana, but no quantified AI-related revenue or product exists — this is aspirational marketing language, not a monetized AI offering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Brera Holdings PLC / Solmate Infrastructure Press Releases — SOL Acquisition Program, Kraken Institutional Partnership, CEO Appointment, 2025-2026</w:t>
      </w:r>
    </w:p>
    <w:p>
      <w:pPr>
        <w:spacing w:before="20" w:after="20"/>
        <w:ind w:left="170"/>
      </w:pPr>
      <w:r>
        <w:rPr>
          <w:rFonts w:ascii="Calibri" w:hAnsi="Calibri"/>
          <w:b/>
          <w:color w:val="4A6B25"/>
          <w:sz w:val="15"/>
        </w:rPr>
        <w:t xml:space="preserve">2. </w:t>
      </w:r>
      <w:r>
        <w:rPr>
          <w:rFonts w:ascii="Calibri" w:hAnsi="Calibri"/>
          <w:b w:val="0"/>
          <w:color w:val="3A4A28"/>
          <w:sz w:val="17"/>
        </w:rPr>
        <w:t>Blockworks, GlobeNewswire, TipRanks — Solmate Infrastructure Coverage, Nasdaq Ticker Change to SLMT, 2025-2026</w:t>
      </w:r>
    </w:p>
    <w:p>
      <w:pPr>
        <w:spacing w:before="20" w:after="20"/>
        <w:ind w:left="170"/>
      </w:pPr>
      <w:r>
        <w:rPr>
          <w:rFonts w:ascii="Calibri" w:hAnsi="Calibri"/>
          <w:b/>
          <w:color w:val="4A6B25"/>
          <w:sz w:val="15"/>
        </w:rPr>
        <w:t xml:space="preserve">3. </w:t>
      </w:r>
      <w:r>
        <w:rPr>
          <w:rFonts w:ascii="Calibri" w:hAnsi="Calibri"/>
          <w:b w:val="0"/>
          <w:color w:val="3A4A28"/>
          <w:sz w:val="17"/>
        </w:rPr>
        <w:t>TipRanks — Brera Holdings Scraps RockawayX Deal Over Financial Discrepancies; Nasdaq Delisting Notice, April 2026</w:t>
      </w:r>
    </w:p>
    <w:p>
      <w:pPr>
        <w:spacing w:before="20" w:after="20"/>
        <w:ind w:left="170"/>
      </w:pPr>
      <w:r>
        <w:rPr>
          <w:rFonts w:ascii="Calibri" w:hAnsi="Calibri"/>
          <w:b/>
          <w:color w:val="4A6B25"/>
          <w:sz w:val="15"/>
        </w:rPr>
        <w:t xml:space="preserve">4. </w:t>
      </w:r>
      <w:r>
        <w:rPr>
          <w:rFonts w:ascii="Calibri" w:hAnsi="Calibri"/>
          <w:b w:val="0"/>
          <w:color w:val="3A4A28"/>
          <w:sz w:val="17"/>
        </w:rPr>
        <w:t>Snowball Research — RBCH Seeks Board Overhaul, Citing Governance and Valuation Concerns at Brera Holdings, 2026</w:t>
      </w:r>
    </w:p>
    <w:p>
      <w:pPr>
        <w:spacing w:before="20" w:after="20"/>
        <w:ind w:left="170"/>
      </w:pPr>
      <w:r>
        <w:rPr>
          <w:rFonts w:ascii="Calibri" w:hAnsi="Calibri"/>
          <w:b/>
          <w:color w:val="4A6B25"/>
          <w:sz w:val="15"/>
        </w:rPr>
        <w:t xml:space="preserve">5. </w:t>
      </w:r>
      <w:r>
        <w:rPr>
          <w:rFonts w:ascii="Calibri" w:hAnsi="Calibri"/>
          <w:b w:val="0"/>
          <w:color w:val="3A4A28"/>
          <w:sz w:val="17"/>
        </w:rPr>
        <w:t>Yahoo Finance — SLMT key statistics,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