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SLNO</w:t>
      </w:r>
      <w:r>
        <w:rPr>
          <w:rFonts w:ascii="Calibri" w:hAnsi="Calibri"/>
          <w:b/>
          <w:color w:val="1A2010"/>
          <w:sz w:val="40"/>
        </w:rPr>
        <w:t xml:space="preserve">  Soleno Therapeutics, Inc.</w:t>
      </w:r>
    </w:p>
    <w:p>
      <w:pPr>
        <w:spacing w:after="120"/>
      </w:pPr>
      <w:r>
        <w:rPr>
          <w:rFonts w:ascii="Calibri" w:hAnsi="Calibri"/>
          <w:b/>
          <w:color w:val="6E8450"/>
          <w:sz w:val="18"/>
        </w:rPr>
        <w:t>GROWTH SLEEVE · 2026-09-19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Soleno Therapeutics is a biopharmaceutical company focused on rare diseases. Its lead product VYKAT XR (diazoxide choline controlled-release) is the first FDA-approved treatment for hyperphagia in Prader-Willi syndrome (PWS), a rare genetic condition affecting ~20,000 patients in the U.S. VYKAT XR launched in Q2 2025 and generated $190.4M in its first year, with Q1 2026 accelerating to $94.6M in revenue and $31.4M net income. In April 2026, Neurocrine Biosciences announced a definitive agreement to acquire Soleno for $53.00/share (~$2.9B). Multiple class action lawsuits have been filed alleging safety data misrepresentation. Headquartered in Redwood City, California.</w:t>
      </w:r>
    </w:p>
    <w:p>
      <w:r>
        <w:rPr>
          <w:rFonts w:ascii="Calibri" w:hAnsi="Calibri"/>
          <w:b/>
          <w:color w:val="6E8450"/>
          <w:sz w:val="18"/>
        </w:rPr>
        <w:t>182 Employees · https://soleno.life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Soleno achieved a transformative milestone by gaining FDA approval for VYKAT XR — the first-ever approved treatment for hyperphagia in Prader-Willi syndrome — and launched to $190.4M in revenue within nine months, an exceptional rare disease commercialization [1]. Q1 2026 accelerated to $94.6M revenue with $31.4M net income (33.2% margin), demonstrating strong commercial execution and rapid scaling [1]. AI Deployment (0/2): No evidence of AI-powered products or AI-driven operational efficiencies; traditional biopharmaceutical company with no AI strategy disclosed. Market Share (2/2): VYKAT XR is the only FDA-approved treatment for hyperphagia in PWS, commanding 100% market share in an uncontested therapeutic category with over 12% U.S. market penetration in its first nine months [1]. Product Pipeline (0/2): No specific next-generation candidates with timelines have been disclosed, and the Neurocrine acquisition agreement forecloses independent pipeline development [2]. R&amp;D Intensity (1/1): Soleno invested heavily in clinical development relative to its size, spending substantially on the Phase 3 DESTINY PWS trial across multiple years as a pre-revenue company, sustaining a $175.9M net loss in 2024 before achieving profitability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Soleno's focus on Prader-Willi syndrome — a devastating rare genetic disorder causing insatiable hunger in children and adults with ~20,000 addressable patients — reflects genuine purposeful intentionality beyond profit maximization [1]. CEO Dr. Anish Bhatnagar, a physician with extensive respiratory and metabolic medicine background, was named to TIME Magazine's 100 Most Influential People in Health for 2025, validating the mission's authenticity. Developing the first treatment for an underserved rare disease population demonstrates deep commitment. Community Impact (1/2): VYKAT XR directly serves the PWS community — patients who previously had zero FDA-approved treatments for their most devastating symptom. The 12% market penetration in nine months reflects genuine unmet patient need [1]. However, this is also the company's commercial product rather than separate charitable investment. Employee Retention (0/2): Expanded leadership team with key appointments (CCO, VP Europe, VP HR, new CFO Jennifer Fulk from Eli Lilly) but no retention or tenure data available to assess [3]. Insider Buying (0/2): Insider transactions showed net selling prior to the $53 acquisition announcement, with CEO Bhatnagar holding 583K shares and 131K options but no evidence of meaningful net buying in the last 12 months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(revenue growth metrics excluded as mathematically undefined from a zero base in prior year). D/E of 11.68% is deeply conservative, scoring 1.0 — the company ended 2025 with $506.1M in cash and marketable securities against minimal debt [1][4]. Forward P/E of 8.54 reflects the Neurocrine acquisition price against strong forward earnings trajectory, scoring 1.0. ROE of 6.01% is below the 15% target (score 0.40, 2x weight) as the company transitions from pre-revenue to commercial-stage profitability [4]. Profit margin of 10.97% TTM is expanding rapidly — Q1 2026 achieved 33.2% margin on $94.6M revenue with 98.6% gross margin, suggesting significant operating leverage as VYKAT XR scales [1]. Liquidity passes easily at ~$180M daily trading value pre-acquisition. Revenue growth and 5yr CAGR excluded as not calculable from a zero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Soleno's agreement to be acquired by Neurocrine for $53/share after just one year of VYKAT XR commercialization signals finite game thinking — selling the company rather than building a multi-decade rare disease platform. While the rare disease mission is genuine and CEO Bhatnagar demonstrated resilience through years of pre-revenue development, the willingness to exit at the first opportunity for financial realization suggests leadership prioritized value crystallization over continued independent pursuit of the cause. The class action lawsuits alleging safety data misrepresentation further erode trust in stated principles.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Soleno's rare disease focus genuinely serves an underserved patient population with a devastating genetic disorder, and CEO Bhatnagar's TIME Magazine recognition validates the mission's authenticity [1]. However, the agreement to sell to Neurocrine for $53/share after just one year of VYKAT XR commercialization — with only 12% market penetration — suggests the cause was not deeply enough held to resist a financial exit [2]. A company with a true Just Cause would be more reluctant to surrender its independent pursuit of the mission when the work was clearly just beginning.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class action lawsuits allege that between March and November 2025, executives issued escalating public assurances about VYKAT XR's safety while allegedly concealing serious adverse event risks including excess fluid retention, pre-diabetes, and potential heart failure in patients [5]. If true, this represents a fundamental breach of trust between leadership and both employees and patients. Sustainalytics rates Soleno's ESG material risk management as 'Weak,' and the securities fraud litigation creates organizational uncertainty [5].</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the only FDA-approved treatment for hyperphagia in PWS, Soleno operates without direct competitors in its primary market [1]. The lack of worthy rivals is structural rather than a mindset issue — there are simply no competitive dynamics to learn from in this therapeutic category. No evidence of the company acknowledging external strengths or using competitive pressure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Capnia Inc. (a medical device company) to Soleno Therapeutics in 2017, completely redirecting the company toward rare metabolic disorders and VYKAT XR, was a meaningful strategic transformation that redefined the company's identity and ultimately led to a $2.9B acquisition [2]. However, the acceptance of the Neurocrine acquisition forecloses further independent strategic evolution, and the company never had to navigate a second strategic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FDA approval for a rare disease with ~20,000 addressable patients required genuine courage — the commercial opportunity is limited relative to development costs, and Soleno persisted through years of pre-revenue R&amp;D, a $175.9M net loss in 2024, and periods when the stock traded under $2 [1][3]. CEO Bhatnagar navigated the Scorpion Capital short attack in August 2025 while maintaining commercial launch momentum. However, accepting the Neurocrine acquisition rather than continuing to build independently limits the courage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Soleno Therapeutics is a rare disease success story now effectively trading as a merger arbitrage at the $53 Neurocrine acquisition price. VYKAT XR's commercial trajectory is exceptional: Q1 2026 delivered $94.6M revenue with $31.4M net income (33.2% margin), accelerating from $190.4M in the first year of sales with only 12% U.S. market penetration [1]. The 98.6% gross margin and rapidly expanding operating margins validate the rare disease franchise quality. The conservative balance sheet ($506M cash, D/E 11.68%) and forward P/E of 8.54x reflect strong underlying business fundamentals [4]. The Neurocrine tender offer at $53/share provides a defined exit with limited downside to the deal price, offering merger arbitrage return if the acquisition closes as expected [2].</w:t>
      </w:r>
    </w:p>
    <w:p>
      <w:pPr>
        <w:spacing w:after="120"/>
      </w:pPr>
      <w:r>
        <w:rPr>
          <w:rFonts w:ascii="Calibri" w:hAnsi="Calibri"/>
          <w:b w:val="0"/>
          <w:color w:val="3A4A28"/>
          <w:sz w:val="20"/>
        </w:rPr>
        <w:t>The risks are substantial and concentrated. Multiple class action lawsuits allege Soleno systematically misrepresented DCCR safety data, including concealing evidence of excess fluid retention, pre-diabetes, and potential heart failure in clinical trial participants between March and November 2025 [5]. Sustainalytics rates Soleno's ESG material risk management as 'Weak.' These allegations could affect FDA post-marketing requirements, create product liability exposure, and potentially complicate or threaten the Neurocrine acquisition. If the $53/share deal fails due to litigation, regulatory concerns, or antitrust issues, the stock could decline significantly given the litigation overhang and Soleno's single-product dependency — there are no disclosed pipeline candidates beyond VYKAT XR. The company's agreement to sell after just one year of commercialization, while at a premium, may undervalue the long-term potential of a first-in-class orphan drug with only 12% market penetration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Neurocrine Biosciences acquisition closing at $53/share (~$2.9B), providing certain return for current shareholders upon completion of regulatory and shareholder approvals [2]</w:t>
      </w:r>
    </w:p>
    <w:p>
      <w:pPr>
        <w:spacing w:before="40" w:after="40"/>
        <w:ind w:left="283"/>
      </w:pPr>
      <w:r>
        <w:rPr>
          <w:rFonts w:ascii="Calibri" w:hAnsi="Calibri"/>
          <w:b/>
          <w:color w:val="4A6B25"/>
          <w:sz w:val="20"/>
        </w:rPr>
        <w:t xml:space="preserve">2. </w:t>
      </w:r>
      <w:r>
        <w:rPr>
          <w:rFonts w:ascii="Calibri" w:hAnsi="Calibri"/>
          <w:b w:val="0"/>
          <w:color w:val="3A4A28"/>
          <w:sz w:val="20"/>
        </w:rPr>
        <w:t>VYKAT XR revenue trajectory on pace to exceed $400M in 2026 with margin expansion toward 30%+, validating the commercial franchise and supporting the acquisition rationale [1]</w:t>
      </w:r>
    </w:p>
    <w:p>
      <w:pPr>
        <w:spacing w:before="40" w:after="40"/>
        <w:ind w:left="283"/>
      </w:pPr>
      <w:r>
        <w:rPr>
          <w:rFonts w:ascii="Calibri" w:hAnsi="Calibri"/>
          <w:b/>
          <w:color w:val="4A6B25"/>
          <w:sz w:val="20"/>
        </w:rPr>
        <w:t xml:space="preserve">3. </w:t>
      </w:r>
      <w:r>
        <w:rPr>
          <w:rFonts w:ascii="Calibri" w:hAnsi="Calibri"/>
          <w:b w:val="0"/>
          <w:color w:val="3A4A28"/>
          <w:sz w:val="20"/>
        </w:rPr>
        <w:t>Potential international expansion of VYKAT XR and additional metabolic disorder indications under Neurocrine's larger global commercial infrastructure and R&amp;D resources post-acquisition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Class action lawsuits alleging systematic concealment of DCCR safety data — excess fluid retention, pre-diabetes, heart failure risks — could trigger FDA post-marketing requirements, product liability claims, or acquisition deal modification/termination [5]</w:t>
      </w:r>
    </w:p>
    <w:p>
      <w:pPr>
        <w:spacing w:before="40" w:after="40"/>
        <w:ind w:left="283"/>
      </w:pPr>
      <w:r>
        <w:rPr>
          <w:rFonts w:ascii="Calibri" w:hAnsi="Calibri"/>
          <w:b/>
          <w:color w:val="4A6B25"/>
          <w:sz w:val="20"/>
        </w:rPr>
        <w:t xml:space="preserve">2. </w:t>
      </w:r>
      <w:r>
        <w:rPr>
          <w:rFonts w:ascii="Calibri" w:hAnsi="Calibri"/>
          <w:b w:val="0"/>
          <w:color w:val="3A4A28"/>
          <w:sz w:val="20"/>
        </w:rPr>
        <w:t>Neurocrine acquisition failure risk: if the $53/share deal collapses due to litigation, regulatory concerns, or antitrust issues, the stock could decline significantly given single-product dependency and no disclosed pipeline [2]</w:t>
      </w:r>
    </w:p>
    <w:p>
      <w:pPr>
        <w:spacing w:before="40" w:after="40"/>
        <w:ind w:left="283"/>
      </w:pPr>
      <w:r>
        <w:rPr>
          <w:rFonts w:ascii="Calibri" w:hAnsi="Calibri"/>
          <w:b/>
          <w:color w:val="4A6B25"/>
          <w:sz w:val="20"/>
        </w:rPr>
        <w:t xml:space="preserve">3. </w:t>
      </w:r>
      <w:r>
        <w:rPr>
          <w:rFonts w:ascii="Calibri" w:hAnsi="Calibri"/>
          <w:b w:val="0"/>
          <w:color w:val="3A4A28"/>
          <w:sz w:val="20"/>
        </w:rPr>
        <w:t>Single-product dependency on VYKAT XR in a market of ~20,000 patients with Sustainalytics 'Weak' ESG management rating — any post-marketing safety signal, competitive entry, or label restriction would have outsized impact on the entire franchise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Pharmaceutical development and commercialization for rare diseases is highly immune to AI disruption. VYKAT XR required extensive clinical trials, FDA regulatory approval, specialized GMP manufacturing, patient identification through genetic testing, and physician education — none of which can be replaced by AI [1]. The Prader-Willi syndrome treatment market involves complex patient management, caregiver coordination, and ongoing medical monitoring requiring human healthcare infrastructure. Orphan drug exclusivity provides structural regulatory protection against AI-driven competitors. AI Opportunity (0/1): No evidence of AI-generated revenue. Soleno operates as a traditional biopharmaceutical company without AI products, services, or disclosed AI-driven operational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Soleno Therapeutics FY2025 and Q1 2026 Earnings — FY2025 revenue $190.4M, net income $20.9M; Q1 2026 revenue $94.6M, net income $31.4M (33.2% margin), $506.1M cash, February/May 2026</w:t>
      </w:r>
    </w:p>
    <w:p>
      <w:pPr>
        <w:spacing w:before="20" w:after="20"/>
        <w:ind w:left="170"/>
      </w:pPr>
      <w:r>
        <w:rPr>
          <w:rFonts w:ascii="Calibri" w:hAnsi="Calibri"/>
          <w:b/>
          <w:color w:val="4A6B25"/>
          <w:sz w:val="15"/>
        </w:rPr>
        <w:t xml:space="preserve">2. </w:t>
      </w:r>
      <w:r>
        <w:rPr>
          <w:rFonts w:ascii="Calibri" w:hAnsi="Calibri"/>
          <w:b w:val="0"/>
          <w:color w:val="3A4A28"/>
          <w:sz w:val="17"/>
        </w:rPr>
        <w:t>Neurocrine Biosciences Acquisition Agreement — $53.00/share cash tender offer (~$2.9B), Merger Agreement announced April 5, 2026</w:t>
      </w:r>
    </w:p>
    <w:p>
      <w:pPr>
        <w:spacing w:before="20" w:after="20"/>
        <w:ind w:left="170"/>
      </w:pPr>
      <w:r>
        <w:rPr>
          <w:rFonts w:ascii="Calibri" w:hAnsi="Calibri"/>
          <w:b/>
          <w:color w:val="4A6B25"/>
          <w:sz w:val="15"/>
        </w:rPr>
        <w:t xml:space="preserve">3. </w:t>
      </w:r>
      <w:r>
        <w:rPr>
          <w:rFonts w:ascii="Calibri" w:hAnsi="Calibri"/>
          <w:b w:val="0"/>
          <w:color w:val="3A4A28"/>
          <w:sz w:val="17"/>
        </w:rPr>
        <w:t>Soleno Therapeutics Leadership — CEO Dr. Anish Bhatnagar (since 2014), CFO Jennifer Fulk (March 2026), TIME 100 Health 2025, Craft.co/Investors Page</w:t>
      </w:r>
    </w:p>
    <w:p>
      <w:pPr>
        <w:spacing w:before="20" w:after="20"/>
        <w:ind w:left="170"/>
      </w:pPr>
      <w:r>
        <w:rPr>
          <w:rFonts w:ascii="Calibri" w:hAnsi="Calibri"/>
          <w:b/>
          <w:color w:val="4A6B25"/>
          <w:sz w:val="15"/>
        </w:rPr>
        <w:t xml:space="preserve">4. </w:t>
      </w:r>
      <w:r>
        <w:rPr>
          <w:rFonts w:ascii="Calibri" w:hAnsi="Calibri"/>
          <w:b w:val="0"/>
          <w:color w:val="3A4A28"/>
          <w:sz w:val="17"/>
        </w:rPr>
        <w:t>StockAnalysis / Yahoo Finance — SLNO Statistics: stock price $53.01, P/E 85.15, forward P/E 8.54, D/E 11.68%, ROE 6.01%, accessed July 2026</w:t>
      </w:r>
    </w:p>
    <w:p>
      <w:pPr>
        <w:spacing w:before="20" w:after="20"/>
        <w:ind w:left="170"/>
      </w:pPr>
      <w:r>
        <w:rPr>
          <w:rFonts w:ascii="Calibri" w:hAnsi="Calibri"/>
          <w:b/>
          <w:color w:val="4A6B25"/>
          <w:sz w:val="15"/>
        </w:rPr>
        <w:t xml:space="preserve">5. </w:t>
      </w:r>
      <w:r>
        <w:rPr>
          <w:rFonts w:ascii="Calibri" w:hAnsi="Calibri"/>
          <w:b w:val="0"/>
          <w:color w:val="3A4A28"/>
          <w:sz w:val="17"/>
        </w:rPr>
        <w:t>Scorpion Capital Short Report and Class Action Lawsuits — Safety data allegations (fluid retention, pre-diabetes, heart failure), Sustainalytics ESG Rating 'Weak',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