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SMFG</w:t>
      </w:r>
      <w:r>
        <w:rPr>
          <w:rFonts w:ascii="Calibri" w:hAnsi="Calibri"/>
          <w:b/>
          <w:color w:val="1A2010"/>
          <w:sz w:val="40"/>
        </w:rPr>
        <w:t xml:space="preserve">  Sumitomo Mitsui Financial Group, Inc.</w:t>
      </w:r>
    </w:p>
    <w:p>
      <w:pPr>
        <w:spacing w:after="120"/>
      </w:pPr>
      <w:r>
        <w:rPr>
          <w:rFonts w:ascii="Calibri" w:hAnsi="Calibri"/>
          <w:b/>
          <w:color w:val="6E8450"/>
          <w:sz w:val="18"/>
        </w:rPr>
        <w:t>DIVIDEND SLEEVE · 2026-09-11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Japan</w:t>
      </w:r>
    </w:p>
    <w:p>
      <w:pPr>
        <w:spacing w:after="80"/>
      </w:pPr>
      <w:r>
        <w:rPr>
          <w:rFonts w:ascii="Calibri" w:hAnsi="Calibri"/>
          <w:b w:val="0"/>
          <w:color w:val="3A4A28"/>
          <w:sz w:val="20"/>
        </w:rPr>
        <w:t>Sumitomo Mitsui Financial Group is Japan's second-largest banking group, providing commercial banking, leasing, securities (via SMBC Nikko), and consumer finance services globally through its core subsidiary Sumitomo Mitsui Banking Corporation. Under Group CEO Toru Nakashima (since April 2019), SMFG reported FY2026 (year ended March 2026) ordinary profit growth of 34.0% and raised its net income forecast 27% to a record JPY 1.5 trillion, with a longer-term target of JPY 2 trillion, while pursuing an 'AI-leading Financial Institution' strategy backed by a JPY 50 billion generative-AI budget [1] [2].</w:t>
      </w:r>
    </w:p>
    <w:p>
      <w:r>
        <w:rPr>
          <w:rFonts w:ascii="Calibri" w:hAnsi="Calibri"/>
          <w:b/>
          <w:color w:val="6E8450"/>
          <w:sz w:val="18"/>
        </w:rPr>
        <w:t>100,000 Employees · https://www.smfg.co.jp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SMBC has launched multiple digital products including 'stera,' a cashless payment platform, and 'Custella,' an AI-driven data analytics service that helps clients analyze payment data for management strategy, representing meaningful digital transformation within the traditional banking business [2]. AI Deployment (2/2): SMBC built a ChatGPT-powered 'AI CEO' modeled on Group CEO Toru Nakashima's own communications, deployed across its 100,000+ employee workforce, and is developing an 'AI Boss' tool mining transaction histories and veteran bankers' expertise, backed by a specific and disclosed JPY 50 billion generative-AI budget [2]. Market Share (2/2): SMFG holds a clear, specifically ranked leadership position as Japan's second-largest banking group [source]. Product Pipeline (1/2): The 'AI Boss' tool began piloting in fiscal 2025 with further rollout planned, giving some forward visibility, though detailed multi-year product roadmap disclosure is limited [2]. R&amp;D Intensity (0/1): No comparative technology-investment-to-revenue figure versus global bank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SMFG's mission, revised in 2020, is 'to contribute to a sustainable society by addressing environmental and social issues,' with a vision to be 'a trusted global solution provider committed to the growth of our customers and advancement of society' — clear in intent but largely interchangeable with peer megabank ESG language [3]. Community Impact (2/2): SMFG traces its philanthropic tradition to the centuries-old Sumitomo Group business philosophy of 'benefit self and benefit others, private and public interests are one and the same,' funding grants for scientific, environmental, and cultural preservation research through the Sumitomo Foundation — a genuinely distinctive, historically deep commitment [4]. Employee Retention (0/2): No specific tenure or turnover data was found. Insider Buying (0/2): No insider transaction data was identified for SMFG's leadership.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(debt-to-equity and PEG ratio are not meaningfully disclosed for a financial institution and are excluded from calculation). Forward P/E of 14.27x and profit margin of 27.82% both exceed target, and the 5-year revenue (ordinary income) CAGR of ~11.6% clears the 10% target. Dividend metrics are strong: payout ratio of 38.59% is near the 40% target, and the 5-year dividend growth CAGR of ~19.91% far exceeds the 6% target, though consecutive years of dividend growth (4) is modest relative to the 10-year target. ROE of 8.57% is the primary drag, well below the 15% target for a bank of this scale. The stock clears the liquidity floor comfortably (~$34.8M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SMFG's mission traces back to the centuries-old Sumitomo philosophy of mutual benefit, a genuinely resilient philosophical foundation that Sinek would find compelling in principle. However, the 2022 SMBC Nikko Securities market-manipulation conviction — with indicted executives and a regulatory rebuke for inadequate oversight — and the 2025 reversal of SMFG's Net-Zero Banking Alliance commitment under 'international trends' pressure both suggest a organization whose actual conduct does not yet consistently live up to its stated cause, tipping the overall assessment toward finite-minded pragmatism.</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SMFG's 2020-revised mission to 'contribute to a sustainable society' is backed by the 400-plus-year Sumitomo Group philosophy of 'benefit self and benefit others, private and public interests are one and the same' — a genuinely resilient, multi-century foundation predating the modern company [3] [4]. However, actual conduct (the NZBA exit and the SMBC Nikko scandal) has not consistently validated the cause, so it remains only partially lived rather than a fully proven competitive advantage.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While CEO Nakashima has publicly urged employees to 'Break the Mold' and pursue new opportunities without fear of failure, the 2022 finding that SMBC Nikko Securities engaged in illegal stock-stabilization transactions — with indicted executives and employees, and a regulatory order to improve oversight — is direct evidence of a compliance and trust failure within at least one major subsidiary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competitive commentary from SMFG leadership toward domestic rivals (MUFG, Mizuho) was identified in available research to indicate either a predatory or a learn-from-rivals posture.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SMFG's 2025 decision to become the first Japanese bank to exit the Net-Zero Banking Alliance — citing 'international trends' while claiming its underlying climate commitments remain unchanged — reads as a reactive retreat from a prior public commitment under external pressure rather than a bold, cause-driven strategic pivot [6]. No other evidence of a transformative business-model reinvention was found.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Nakashima's 'Break the Mold' messaging, encouraging employees to be 'unafraid of failure' and challenge precedent, reflects an intent to build a risk-tolerant culture, though no specific example of a costly long-term financial sacrifice by leadership was identified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SMFG delivered strong FY2026 results, with ordinary profit up 34.0% and net income up 5.5% to a record level, prompting management to raise its net income forecast 27% to JPY 1.5 trillion with a longer-term target of JPY 2 trillion, driven by higher domestic net interest income, wealth management, and consumer finance fee growth [1]. Trading at a Forward P/E of just 14.27x with a 27.82% profit margin, SMFG offers exposure to Japan's ongoing interest-rate normalization at a reasonable valuation, backed by a JPY 50 billion generative-AI investment budget and live AI tools ('stera,' 'Custella,' 'AI CEO') that position Japan's #2 banking group as a technology leader among domestic peers [2].</w:t>
      </w:r>
    </w:p>
    <w:p>
      <w:pPr>
        <w:spacing w:after="120"/>
      </w:pPr>
      <w:r>
        <w:rPr>
          <w:rFonts w:ascii="Calibri" w:hAnsi="Calibri"/>
          <w:b w:val="0"/>
          <w:color w:val="3A4A28"/>
          <w:sz w:val="20"/>
        </w:rPr>
        <w:t>The bear case centers on modest core profitability and governance consistency: ROE of 8.57% is unremarkable for a bank trading at 21.74x trailing earnings, and two specific episodes weigh on the qualitative assessment — the 2022 SMBC Nikko Securities conviction for illegal stock-stabilization transactions (with indicted executives and a regulatory order to strengthen oversight) and the 2025 decision to become the first Japanese bank to exit the Net-Zero Banking Alliance, reversing a prior public sustainability commitment under 'international trends' pressure [5] [6]. As a Japan-domiciled ADR, SMFG also carries yen/dollar currency translation risk independent of underlying business performance, and U.S. investors have limited direct governance influence over a Tokyo-headquartered institution.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Progress toward the JPY 2 trillion net income target through cost discipline and improved return on risk-adjusted assets (RORA) [1]</w:t>
      </w:r>
    </w:p>
    <w:p>
      <w:pPr>
        <w:spacing w:before="40" w:after="40"/>
        <w:ind w:left="283"/>
      </w:pPr>
      <w:r>
        <w:rPr>
          <w:rFonts w:ascii="Calibri" w:hAnsi="Calibri"/>
          <w:b/>
          <w:color w:val="4A6B25"/>
          <w:sz w:val="20"/>
        </w:rPr>
        <w:t xml:space="preserve">2. </w:t>
      </w:r>
      <w:r>
        <w:rPr>
          <w:rFonts w:ascii="Calibri" w:hAnsi="Calibri"/>
          <w:b w:val="0"/>
          <w:color w:val="3A4A28"/>
          <w:sz w:val="20"/>
        </w:rPr>
        <w:t>Continued rollout of 'AI Boss' and other generative AI tools across the 100,000+ employee workforce, potentially improving the efficiency ratio over time [2]</w:t>
      </w:r>
    </w:p>
    <w:p>
      <w:pPr>
        <w:spacing w:before="40" w:after="40"/>
        <w:ind w:left="283"/>
      </w:pPr>
      <w:r>
        <w:rPr>
          <w:rFonts w:ascii="Calibri" w:hAnsi="Calibri"/>
          <w:b/>
          <w:color w:val="4A6B25"/>
          <w:sz w:val="20"/>
        </w:rPr>
        <w:t xml:space="preserve">3. </w:t>
      </w:r>
      <w:r>
        <w:rPr>
          <w:rFonts w:ascii="Calibri" w:hAnsi="Calibri"/>
          <w:b w:val="0"/>
          <w:color w:val="3A4A28"/>
          <w:sz w:val="20"/>
        </w:rPr>
        <w:t>Continued Japanese domestic interest rate normalization lifting net interest income after years of near-zero rates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2022 SMBC Nikko Securities market-manipulation conviction signals compliance-culture gaps within at least one major subsidiary that could recur [5]</w:t>
      </w:r>
    </w:p>
    <w:p>
      <w:pPr>
        <w:spacing w:before="40" w:after="40"/>
        <w:ind w:left="283"/>
      </w:pPr>
      <w:r>
        <w:rPr>
          <w:rFonts w:ascii="Calibri" w:hAnsi="Calibri"/>
          <w:b/>
          <w:color w:val="4A6B25"/>
          <w:sz w:val="20"/>
        </w:rPr>
        <w:t xml:space="preserve">2. </w:t>
      </w:r>
      <w:r>
        <w:rPr>
          <w:rFonts w:ascii="Calibri" w:hAnsi="Calibri"/>
          <w:b w:val="0"/>
          <w:color w:val="3A4A28"/>
          <w:sz w:val="20"/>
        </w:rPr>
        <w:t>Reversal of the Net-Zero Banking Alliance commitment raises questions about the durability of SMFG's stated sustainability mission under external pressure [6]</w:t>
      </w:r>
    </w:p>
    <w:p>
      <w:pPr>
        <w:spacing w:before="40" w:after="40"/>
        <w:ind w:left="283"/>
      </w:pPr>
      <w:r>
        <w:rPr>
          <w:rFonts w:ascii="Calibri" w:hAnsi="Calibri"/>
          <w:b/>
          <w:color w:val="4A6B25"/>
          <w:sz w:val="20"/>
        </w:rPr>
        <w:t xml:space="preserve">3. </w:t>
      </w:r>
      <w:r>
        <w:rPr>
          <w:rFonts w:ascii="Calibri" w:hAnsi="Calibri"/>
          <w:b w:val="0"/>
          <w:color w:val="3A4A28"/>
          <w:sz w:val="20"/>
        </w:rPr>
        <w:t>Yen/dollar currency volatility directly affects USD-denominated ADR returns independent of underlying business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SMFG's core banking, lending, and payments business is protected by heavy banking-license regulation, deposit relationships, and capital requirements that AI cannot structurally displace — AI cannot itself become a licensed deposit-taking bank. SMFG has explicitly positioned itself as an 'AI-leading Financial Institution,' treating AI as a productivity enabler across its 100,000+ workforce rather than a threat, though fee-based advisory and back-office roles face some long-term margin compression from AI-driven automation [2]. AI Opportunity (1/1): SMFG has quantified a JPY 50 billion generative-AI investment budget and deployed specific revenue/efficiency-relevant tools ('stera,' 'Custella,' 'AI CEO,' 'AI Boss'), a meaningful, disclosed AI investment commitment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SMFG FY2026 (year ended March 2026) Earnings Release and 6-K Filings, SEC EDGAR / MarketScreener, 2026</w:t>
      </w:r>
    </w:p>
    <w:p>
      <w:pPr>
        <w:spacing w:before="20" w:after="20"/>
        <w:ind w:left="170"/>
      </w:pPr>
      <w:r>
        <w:rPr>
          <w:rFonts w:ascii="Calibri" w:hAnsi="Calibri"/>
          <w:b/>
          <w:color w:val="4A6B25"/>
          <w:sz w:val="15"/>
        </w:rPr>
        <w:t xml:space="preserve">2. </w:t>
      </w:r>
      <w:r>
        <w:rPr>
          <w:rFonts w:ascii="Calibri" w:hAnsi="Calibri"/>
          <w:b w:val="0"/>
          <w:color w:val="3A4A28"/>
          <w:sz w:val="17"/>
        </w:rPr>
        <w:t>Benzinga / Fintech Observer / smfg.co.jp DX-link — SMBC 'AI CEO,' 'AI Boss,' and Generative AI Strategy, 2025-2026</w:t>
      </w:r>
    </w:p>
    <w:p>
      <w:pPr>
        <w:spacing w:before="20" w:after="20"/>
        <w:ind w:left="170"/>
      </w:pPr>
      <w:r>
        <w:rPr>
          <w:rFonts w:ascii="Calibri" w:hAnsi="Calibri"/>
          <w:b/>
          <w:color w:val="4A6B25"/>
          <w:sz w:val="15"/>
        </w:rPr>
        <w:t xml:space="preserve">3. </w:t>
      </w:r>
      <w:r>
        <w:rPr>
          <w:rFonts w:ascii="Calibri" w:hAnsi="Calibri"/>
          <w:b w:val="0"/>
          <w:color w:val="3A4A28"/>
          <w:sz w:val="17"/>
        </w:rPr>
        <w:t>SMFG.co.jp — Group Mission, Vision and Values (revised 2020),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Sumitomo Foundation / smfg.co.jp Sustainability — Social Contribution Activities,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Japan Times — SMBC Nikko Securities Market Manipulation Penalty, October 2022</w:t>
      </w:r>
    </w:p>
    <w:p>
      <w:pPr>
        <w:spacing w:before="20" w:after="20"/>
        <w:ind w:left="170"/>
      </w:pPr>
      <w:r>
        <w:rPr>
          <w:rFonts w:ascii="Calibri" w:hAnsi="Calibri"/>
          <w:b/>
          <w:color w:val="4A6B25"/>
          <w:sz w:val="15"/>
        </w:rPr>
        <w:t xml:space="preserve">6. </w:t>
      </w:r>
      <w:r>
        <w:rPr>
          <w:rFonts w:ascii="Calibri" w:hAnsi="Calibri"/>
          <w:b w:val="0"/>
          <w:color w:val="3A4A28"/>
          <w:sz w:val="17"/>
        </w:rPr>
        <w:t>ESG Today — SMFG Net-Zero Banking Alliance Exit, 2025</w:t>
      </w:r>
    </w:p>
    <w:p>
      <w:pPr>
        <w:spacing w:before="20" w:after="20"/>
        <w:ind w:left="170"/>
      </w:pPr>
      <w:r>
        <w:rPr>
          <w:rFonts w:ascii="Calibri" w:hAnsi="Calibri"/>
          <w:b/>
          <w:color w:val="4A6B25"/>
          <w:sz w:val="15"/>
        </w:rPr>
        <w:t xml:space="preserve">7. </w:t>
      </w:r>
      <w:r>
        <w:rPr>
          <w:rFonts w:ascii="Calibri" w:hAnsi="Calibri"/>
          <w:b w:val="0"/>
          <w:color w:val="3A4A28"/>
          <w:sz w:val="17"/>
        </w:rPr>
        <w:t>StockAnalysis.com — SMFG Statistics and Financials,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