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SMMT</w:t>
      </w:r>
      <w:r>
        <w:rPr>
          <w:rFonts w:ascii="Calibri" w:hAnsi="Calibri"/>
          <w:b/>
          <w:color w:val="1A2010"/>
          <w:sz w:val="40"/>
        </w:rPr>
        <w:t xml:space="preserve">  Summit Therapeutics, Inc.</w:t>
      </w:r>
    </w:p>
    <w:p>
      <w:pPr>
        <w:spacing w:after="120"/>
      </w:pPr>
      <w:r>
        <w:rPr>
          <w:rFonts w:ascii="Calibri" w:hAnsi="Calibri"/>
          <w:b/>
          <w:color w:val="6E8450"/>
          <w:sz w:val="18"/>
        </w:rPr>
        <w:t>GROWTH SLEEVE · 2026-09-07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Summit Therapeutics is a late-stage oncology biotech developing ivonescimab, a first-in-class PD-1/VEGF bispecific antibody in-licensed from China's Akeso, Inc. in 2023. Ivonescimab beat Merck's Keytruda head-to-head in a Chinese NSCLC trial, with over 4,000 patients treated in clinical studies globally and 70,000+ commercially in China. Summit has filed the first BLA in the US for EGFR-mutated NSCLC with a PDUFA action date of November 14, 2026. The HARMONi-3 Phase III squamous NSCLC cohort missed statistical significance at an interim PFS analysis in mid-2026. Q2 2026 cash and investments totaled approximately $690M.</w:t>
      </w:r>
    </w:p>
    <w:p>
      <w:r>
        <w:rPr>
          <w:rFonts w:ascii="Calibri" w:hAnsi="Calibri"/>
          <w:b/>
          <w:color w:val="6E8450"/>
          <w:sz w:val="18"/>
        </w:rPr>
        <w:t>250 Employees · https://www.smmttx.com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Summit executed a transformative pivot from antibiotics (C. difficile) to oncology by in-licensing ivonescimab from Akeso in January 2023, fundamentally repositioning the company as an oncology-focused biotech [1]. Over 4,000 patients treated in clinical studies globally and 70,000+ commercially in China via Akeso [2]. The BLA filing for EGFR-mutated NSCLC marks a major execution milestone. AI Deployment (0/2): No AI deployment or AI-powered products evident in Summit's pipeline or operations [5]. Market Share (0/2): Pre-commercial company with no U.S. marketed products; ivonescimab would be first-in-class bispecific PD-1/VEGF if approved, but no market share yet [1]. Product Pipeline (2/2): Robust late-stage pipeline with specific FDA timelines — BLA accepted with PDUFA date of November 14, 2026 for ivonescimab in EGFR-mutated NSCLC post-TKI; Phase III HARMONi-GI3 trial initiated in CRC Q4 2025; ASCO 2026 data showed overall survival benefits in squamous NSCLC and strong objective responses in first-line metastatic CRC [2][4]. R&amp;D Intensity (1/1): Essentially 100% of operating expenditure is directed toward clinical development, well above biotech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Summit articulates core values of integrity, passion for excellence, purposeful urgency, collaboration, and commitment to people, with a focus on developing innovative cancer treatments [5]. The mission is clear but not deeply distinctive or validated by decades of execution. Community Impact (0/2): No specific evidence of charitable giving, foundation programs, or community investment beyond the inherent social value of developing cancer therapeutics [5]. Employee Retention (1/2): Summit is Great Place To Work certified, suggesting positive workplace culture, though specific tenure or turnover data is not publicly available for a company of this size [5]. Insider Buying (2/2): Exceptional insider conviction — Co-CEOs Maky Zanganeh and Robert Duggan each purchased 3.81 million shares valued at approximately $50 million each in 2026; CFO Manmeet Soni bought 50,000 shares at ~$14.45; 8 insider buys and 0 sells in the past 12 months; insiders own 79% of the company worth approximately $8 billion [3][6].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Summit generated $189.5M in collaboration revenue in Q1 2026, but this represents milestone/licensing payments from the Akeso partnership rather than recurring product revenue [1]. H1 2026 net loss was approximately $405M with operating expenses of $220.5M in Q2 (R&amp;D $157.7M, G&amp;A $62.8M). Cash and short-term investments totaled approximately $690M ($419M cash + $271M investments) as of June 30, 2026, against minimal debt (D/E ~4%) [1][7]. The company acknowledged less than one year of cash runway without additional capital raises, and halted a $500M equity offering after the HARMONi-3 interim miss. Forward P/E, PEG, and sustainable revenue growth metrics are excluded for a pre-commercial biotech. Liquidity check passes: avg daily volume ~6.7M shares x $17.13 = ~$114.8M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Summit under the Duggan-Zanganeh leadership duo shows meaningful elements of infinite game thinking — the bold strategic pivot from antibiotics to oncology, massive personal financial commitment (~$100M combined in 2026 alone), and concentrated bet on ivonescimab demonstrate conviction beyond quarterly thinking. However, the company is too young in its current oncology-focused form to have been tested through multiple market cycles, and single-asset concentration creates an inherently binary outcome that limits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Summit's cause — bringing a potentially transformative first-in-class cancer treatment to patients globally — is genuine and connects the company's work to something larger than profit [5]. The ivonescimab program targets significant unmet medical needs in NSCLC and CRC where existing treatments fall short. Leadership clearly references the patient impact mission in strategic communications. However, the company has not existed in its current oncology-focused form long enough to validate this cause through multiple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Summit's Great Place To Work certification indicates a positive workplace environment [5]. The co-CEO structure between Duggan (business/investment expertise) and Zanganeh (scientific/operational expertise) suggests collaborative leadership. The small team size (~250 employees) facilitates closer management-employee relationships. However, governance concerns around co-CEO compensation and related-party transactions with Akeso could erode trust if unresolved.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Summit's competitive positioning focuses on ivonescimab's clinical superiority over Merck's Keytruda with head-to-head data — framing is more 'beat the incumbent' than learning-oriented [2]. No specific evidence of management commentary acknowledging competitors' strengths as motivation for self-improvement or referencing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Summit demonstrated significant strategic flexibility by pivoting entirely from its legacy antibiotics business (C. difficile focus) to oncology through the Akeso ivonescimab in-licensing deal in January 2023 [4][5]. This fully redefined the company's asset base, identity, and market opportunity. However, the pivot was driven partly by the stagnation of the antibiotics pipeline and the attractiveness of the ivonescimab opportunity rather than a deeply held Just Cause demanding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co-CEOs demonstrated remarkable personal financial conviction — Duggan and Zanganeh each invested approximately $50 million in SMMT shares in 2026, and insiders collectively own 79% of the company [3][6]. Concentrating the entire company's resources on a single drug candidate (ivonescimab) with $500M+ committed to Akeso is a courageous all-in bet. However, a Delaware Chancery lawsuit investigating related-party transactions raises questions about whether some capital allocation decisions were principled or self-interested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Summit Therapeutics is a high-conviction binary bet on ivonescimab, a first-in-class bispecific PD-1/VEGF antibody with FDA BLA accepted and PDUFA date of November 14, 2026 for EGFR-mutated NSCLC [4]. ASCO 2026 data demonstrated overall survival benefits in squamous NSCLC and strong objective response rates in first-line metastatic CRC, expanding the addressable market beyond the initial indication [2]. Over 70,000 patients have been treated commercially in China via Akeso and 4,000+ in clinical studies globally, providing substantial real-world evidence. The $13.7B market cap at $17.13/share is supported by extraordinary insider conviction — co-CEOs invested ~$100M combined in 2026 and insiders own 79% of equity [3][6]. Cash and investments of ~$690M as of Q2 2026 provide runway through the PDUFA decision [7]. CEO Bob Duggan's track record at Pharmacyclics ($21B AbbVie sale) adds execution credibility.</w:t>
      </w:r>
    </w:p>
    <w:p>
      <w:pPr>
        <w:spacing w:after="120"/>
      </w:pPr>
      <w:r>
        <w:rPr>
          <w:rFonts w:ascii="Calibri" w:hAnsi="Calibri"/>
          <w:b w:val="0"/>
          <w:color w:val="3A4A28"/>
          <w:sz w:val="20"/>
        </w:rPr>
        <w:t>The bear case centers on binary FDA risk, the HARMONi-3 interim miss, and capital adequacy. The squamous NSCLC cohort of HARMONi-3 Phase III missed statistical significance on PFS at an interim analysis, causing a 27% stock drop and leading Summit to halt a planned $500M equity offering — analysts called this a 'self-inflicted narrative complication' [7]. While the EGFR-mutated NSCLC BLA remains on track for the November 14 PDUFA, the interim miss raises questions about ivonescimab's competitive positioning in the broader NSCLC market. Cash runway of less than 12 months at current burn rates necessitates additional capital raises, and the failed $500M offering demonstrates the difficulty of raising at favorable terms after a clinical setback [1]. Merck's Keytruda franchise generated $25B+ in 2025 and Merck is developing its own bispecific combinations. A Delaware Chancery lawsuit investigating related-party transactions with Akeso creates governance overhang.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PDUFA target action date of November 14, 2026 for ivonescimab in EGFR-mutated NSCLC — approval would validate the bispecific approach and unlock commercial revenue</w:t>
      </w:r>
    </w:p>
    <w:p>
      <w:pPr>
        <w:spacing w:before="40" w:after="40"/>
        <w:ind w:left="283"/>
      </w:pPr>
      <w:r>
        <w:rPr>
          <w:rFonts w:ascii="Calibri" w:hAnsi="Calibri"/>
          <w:b/>
          <w:color w:val="4A6B25"/>
          <w:sz w:val="20"/>
        </w:rPr>
        <w:t xml:space="preserve">2. </w:t>
      </w:r>
      <w:r>
        <w:rPr>
          <w:rFonts w:ascii="Calibri" w:hAnsi="Calibri"/>
          <w:b w:val="0"/>
          <w:color w:val="3A4A28"/>
          <w:sz w:val="20"/>
        </w:rPr>
        <w:t>Phase III HARMONi trial readouts across additional indications including squamous NSCLC and CRC, expanding the total addressable market and de-risking single-indication dependency</w:t>
      </w:r>
    </w:p>
    <w:p>
      <w:pPr>
        <w:spacing w:before="40" w:after="40"/>
        <w:ind w:left="283"/>
      </w:pPr>
      <w:r>
        <w:rPr>
          <w:rFonts w:ascii="Calibri" w:hAnsi="Calibri"/>
          <w:b/>
          <w:color w:val="4A6B25"/>
          <w:sz w:val="20"/>
        </w:rPr>
        <w:t xml:space="preserve">3. </w:t>
      </w:r>
      <w:r>
        <w:rPr>
          <w:rFonts w:ascii="Calibri" w:hAnsi="Calibri"/>
          <w:b w:val="0"/>
          <w:color w:val="3A4A28"/>
          <w:sz w:val="20"/>
        </w:rPr>
        <w:t>Potential commercial partnership or licensing deal for U.S. launch that would reduce capital requirements, provide commercialization infrastructure, and validate the asset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FDA approval risk — a Complete Response Letter on the November 14, 2026 PDUFA date would collapse the $13.7B market cap given single-asset pipeline dependency, compounded by the HARMONi-3 interim miss raising competitive positioning concerns [7]</w:t>
      </w:r>
    </w:p>
    <w:p>
      <w:pPr>
        <w:spacing w:before="40" w:after="40"/>
        <w:ind w:left="283"/>
      </w:pPr>
      <w:r>
        <w:rPr>
          <w:rFonts w:ascii="Calibri" w:hAnsi="Calibri"/>
          <w:b/>
          <w:color w:val="4A6B25"/>
          <w:sz w:val="20"/>
        </w:rPr>
        <w:t xml:space="preserve">2. </w:t>
      </w:r>
      <w:r>
        <w:rPr>
          <w:rFonts w:ascii="Calibri" w:hAnsi="Calibri"/>
          <w:b w:val="0"/>
          <w:color w:val="3A4A28"/>
          <w:sz w:val="20"/>
        </w:rPr>
        <w:t>Cash runway of less than 12 months at current burn rates with the $500M equity offering halted after the interim miss, necessitating alternative capital raises at potentially less favorable terms [1][7]</w:t>
      </w:r>
    </w:p>
    <w:p>
      <w:pPr>
        <w:spacing w:before="40" w:after="40"/>
        <w:ind w:left="283"/>
      </w:pPr>
      <w:r>
        <w:rPr>
          <w:rFonts w:ascii="Calibri" w:hAnsi="Calibri"/>
          <w:b/>
          <w:color w:val="4A6B25"/>
          <w:sz w:val="20"/>
        </w:rPr>
        <w:t xml:space="preserve">3. </w:t>
      </w:r>
      <w:r>
        <w:rPr>
          <w:rFonts w:ascii="Calibri" w:hAnsi="Calibri"/>
          <w:b w:val="0"/>
          <w:color w:val="3A4A28"/>
          <w:sz w:val="20"/>
        </w:rPr>
        <w:t>Competitive threat from Merck's Keytruda franchise ($25B+ revenue) and emerging bispecific/ADC combinations from larger pharma companies with established oncology commercial infrastructure and deeper development pipelines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Summit's core business — developing and commercializing biologic drugs through FDA-regulated clinical trials — is structurally protected from AI disruption. The ivonescimab development program requires physical clinical trials with thousands of patients, complex biologics manufacturing, and navigating FDA regulatory pathways that AI cannot substitute [2][4]. The drug itself is a bispecific antibody requiring sophisticated manufacturing processes and patent-protected IP from the Akeso partnership. While AI tools are increasingly used in drug discovery and clinical trial optimization, they augment rather than replace the clinical development and regulatory approval process. AI Opportunity (0/1): No evidence of AI-driven revenue or AI-powered products; Summit's operations are traditional clinical-stage pharma without meaningful AI revenue contribution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Summit Therapeutics Q2 2026 10-Q — Cash $419M, Short-Term Investments $271M, Operating Expenses $220.5M, StockTitan/SEC, August 2026</w:t>
      </w:r>
    </w:p>
    <w:p>
      <w:pPr>
        <w:spacing w:before="20" w:after="20"/>
        <w:ind w:left="170"/>
      </w:pPr>
      <w:r>
        <w:rPr>
          <w:rFonts w:ascii="Calibri" w:hAnsi="Calibri"/>
          <w:b/>
          <w:color w:val="4A6B25"/>
          <w:sz w:val="15"/>
        </w:rPr>
        <w:t xml:space="preserve">2. </w:t>
      </w:r>
      <w:r>
        <w:rPr>
          <w:rFonts w:ascii="Calibri" w:hAnsi="Calibri"/>
          <w:b w:val="0"/>
          <w:color w:val="3A4A28"/>
          <w:sz w:val="17"/>
        </w:rPr>
        <w:t>Summit Therapeutics ASCO 2026 Ivonescimab Data — Phase II/III survival and response results in NSCLC and CRC, June 2026</w:t>
      </w:r>
    </w:p>
    <w:p>
      <w:pPr>
        <w:spacing w:before="20" w:after="20"/>
        <w:ind w:left="170"/>
      </w:pPr>
      <w:r>
        <w:rPr>
          <w:rFonts w:ascii="Calibri" w:hAnsi="Calibri"/>
          <w:b/>
          <w:color w:val="4A6B25"/>
          <w:sz w:val="15"/>
        </w:rPr>
        <w:t xml:space="preserve">3. </w:t>
      </w:r>
      <w:r>
        <w:rPr>
          <w:rFonts w:ascii="Calibri" w:hAnsi="Calibri"/>
          <w:b w:val="0"/>
          <w:color w:val="3A4A28"/>
          <w:sz w:val="17"/>
        </w:rPr>
        <w:t>Morningstar, CNN Markets, Robinhood — SMMT Stock Price $17.13, Market Cap $13.7B, Avg Volume 6.7M,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FDA BLA Acceptance — PDUFA Date November 14, 2026 for ivonescimab in EGFR-mutated NSCLC, Summit Press Release 2026</w:t>
      </w:r>
    </w:p>
    <w:p>
      <w:pPr>
        <w:spacing w:before="20" w:after="20"/>
        <w:ind w:left="170"/>
      </w:pPr>
      <w:r>
        <w:rPr>
          <w:rFonts w:ascii="Calibri" w:hAnsi="Calibri"/>
          <w:b/>
          <w:color w:val="4A6B25"/>
          <w:sz w:val="15"/>
        </w:rPr>
        <w:t xml:space="preserve">5. </w:t>
      </w:r>
      <w:r>
        <w:rPr>
          <w:rFonts w:ascii="Calibri" w:hAnsi="Calibri"/>
          <w:b w:val="0"/>
          <w:color w:val="3A4A28"/>
          <w:sz w:val="17"/>
        </w:rPr>
        <w:t>Summit Therapeutics Corporate Website — Leadership, Mission, Culture, Great Place To Work Certification, smmttx.com,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SEC Form 4 Insider Trading Filings — Duggan and Zanganeh 3.81M shares each (~$50M), Soni 50K shares, 2026</w:t>
      </w:r>
    </w:p>
    <w:p>
      <w:pPr>
        <w:spacing w:before="20" w:after="20"/>
        <w:ind w:left="170"/>
      </w:pPr>
      <w:r>
        <w:rPr>
          <w:rFonts w:ascii="Calibri" w:hAnsi="Calibri"/>
          <w:b/>
          <w:color w:val="4A6B25"/>
          <w:sz w:val="15"/>
        </w:rPr>
        <w:t xml:space="preserve">7. </w:t>
      </w:r>
      <w:r>
        <w:rPr>
          <w:rFonts w:ascii="Calibri" w:hAnsi="Calibri"/>
          <w:b w:val="0"/>
          <w:color w:val="3A4A28"/>
          <w:sz w:val="17"/>
        </w:rPr>
        <w:t>BioPharma Dive, FiercePharma, PharmaPhorUm — HARMONi-3 Interim PFS Miss in Squamous NSCLC, $500M Offering Halted, June-August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