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SMRT</w:t>
      </w:r>
      <w:r>
        <w:rPr>
          <w:rFonts w:ascii="Calibri" w:hAnsi="Calibri"/>
          <w:b/>
          <w:color w:val="1A2010"/>
          <w:sz w:val="40"/>
        </w:rPr>
        <w:t xml:space="preserve">  SmartRent, Inc.</w:t>
      </w:r>
    </w:p>
    <w:p>
      <w:pPr>
        <w:spacing w:after="120"/>
      </w:pPr>
      <w:r>
        <w:rPr>
          <w:rFonts w:ascii="Calibri" w:hAnsi="Calibri"/>
          <w:b/>
          <w:color w:val="6E8450"/>
          <w:sz w:val="18"/>
        </w:rPr>
        <w:t>GROWTH SLEEVE · 2026-09-26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SmartRent is a proptech company providing smart-home hardware (locks, sensors, thermostats, access control) and a cloud-based SaaS platform for the multifamily rental housing industry, enabling property managers to automate operations and improve resident experience. Headquartered in Phoenix/Scottsdale, Arizona and founded in 2017, the company generated $152.3M in FY2025 revenue with annual recurring revenue growing 13% to $61.6M (42% of total revenue), and returned to positive adjusted EBITDA in Q4 2025 after a period of severe leadership turnover, including three CEO changes in roughly a year.</w:t>
      </w:r>
    </w:p>
    <w:p>
      <w:r>
        <w:rPr>
          <w:rFonts w:ascii="Calibri" w:hAnsi="Calibri"/>
          <w:b/>
          <w:color w:val="6E8450"/>
          <w:sz w:val="18"/>
        </w:rPr>
        <w:t>418 Employees · https://smartrent.com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SmartRent's FY2025 results marked a real inflection -- the company returned to positive adjusted EBITDA in Q4 2025 and posted its first year-over-year quarterly revenue growth in seven quarters, with ARR climbing 13% to $61.6M (42% of total revenue) [1]. But this is a stabilization after a sharp two-year revenue decline (from $236.8M in 2023 to $152.3M in 2025, a 36% drop), not a transformative new product or pivot, and Q1 2026 revenue fell back 6% YoY before a modest 4% recovery in Q2 2026 [2]. AI Deployment (0/2): No specific AI-powered product or AI-driven cost/revenue results were disclosed in research. Market Share (0/2): SmartRent remains a mid-size player in fragmented proptech smart-home/access-control competing against larger platforms; no data shows share gains. Product Pipeline (0/2): No next-generation product has been announced with a specific launch date or revenue commitment. R&amp;D Intensity (0/1): No R&amp;D-intensity data relative to proptech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SmartRent's stated purpose around enhancing visibility and control of real estate assets for owners while improving resident experience is a standard proptech value proposition, not a distinctive articulated purpose [1]. Community Impact (0/2): No charitable or community-investment programs were identified. Employee Retention (0/2): This is the company's most serious weakness -- Glassdoor reviews describe 'two CEOs in the past six months,' a leadership team that is 'a revolving door... with changes of 3 in the last year,' and a culture rated 2.9/5 for culture and values and 2.8/5 for career opportunities, with reviews citing leadership as 'horrible, directionless, combative, manipulative' [3]. Insider Buying (0/2): CEO Frank Martell was appointed in June 2025 with less than a year of tenure at the time of this screen; no meaningful net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Forward P/E and Forward PEG excluded (forward EPS is negative, making these ratios not meaningful). D/E of 2.3% ($5.2M debt against roughly $225M in book equity) scores a perfect 1.0. ROE of -8.45% floors at 0.0, and profit margin of -13.0% also floors at 0.0, reflecting continued net losses even as the company approaches breakeven. Revenue growth of 4.0% YoY in the trailing period scores 0.8, but the multi-year trend is weak: annual revenue fell from $236.8M (2023) to $174.9M (2024) to $152.3M (2025), a roughly -3% three-year CAGR used as the 5-year proxy, which scores just 0.13 at 2x weight [1][2][4]. Daily dollar volume of roughly $2.0M ($1.19 x 1.71M shares) clears the $1M liquidity floor but with limited cushion. Weighted calculation: D/E(1x1.0) + ROE(2x0.0) + RevYoY(1x0.8) + Rev5yr(2x0.13) + ProfitMargin(1x0.0) = 2.07 of 7.0 available weight units -&gt; 2.95, rounds to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SmartRent is a textbook finite-game organization in crisis: three CEO changes in roughly a year and a leadership team described by employees as a 'revolving door' with a board that 'has no idea what they are doing,' a 2.9/5 Glassdoor culture rating, and a strategy still oriented around near-term EBITDA breakeven rather than any articulated enduring purpose. The Q4 2025 return to positive adjusted EBITDA and the 42%-of-revenue ARR mix are real operational green shoots, but they exist inside an organization with almost no evidence of trust, courage, or consistency of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SmartRent's proptech value proposition is functional -- managing smart devices and resident experience for property owners -- with no articulated vision of a future state that would inspire sacrifice from employees or customers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describing 'leadership horrible, directionless, combative, manipulative,' a revolving door of executives, and a rudderless board depict a low-trust environment nearly opposite Sinek's Circle of Safety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SmartRent acknowledging competitors' strengths or framing competition as a spur for self-improvement; the limited public commentary emphasizes SmartRent's own installed base and ecosystem rather than learning from rivals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shift toward SaaS/ARR (now 42% of revenue, up 13% YoY) represents a real, if incremental, evolution away from pure hardware sales toward a recurring-revenue model, occurring alongside broader revenue contraction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leadership churn -- three CEO changes in roughly a year per employee reviews -- reads as instability and self-protection rather than principled long-term investment, and there is no disclosed example of leadership sacrificing near-term results for long-term capability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SmartRent's Q4 2025 return to positive adjusted EBITDA -- its first as a public company -- combined with 13% ARR growth to $61.6M (42% of revenue) and full-year 2025 revenue of $152.3M, suggests the multi-year post-SPAC reset may be stabilizing [1]. The stock trades near $1.19, close to book value, with a clean balance sheet (D/E of just 2.3%) and no meaningful debt burden. If new CEO Frank Martell can arrest the leadership churn that has plagued the company and continue shifting the revenue mix toward higher-margin recurring SaaS/ARR, the current cheap valuation could offer turnaround upside.</w:t>
      </w:r>
    </w:p>
    <w:p>
      <w:pPr>
        <w:spacing w:after="120"/>
      </w:pPr>
      <w:r>
        <w:rPr>
          <w:rFonts w:ascii="Calibri" w:hAnsi="Calibri"/>
          <w:b w:val="0"/>
          <w:color w:val="3A4A28"/>
          <w:sz w:val="20"/>
        </w:rPr>
        <w:t>The bear case is dominated by governance and culture failures highly correlated with execution risk: employee reviews describe three CEO changes in roughly a year, a board that 'has no idea what they are doing,' and a Glassdoor culture score of 2.9/5 -- 'terribly managed sinking ship' is a representative review title [3]. Total revenue has fallen 36% from its 2023 peak of $236.8M to $152.3M in 2025, and profit margin remains solidly negative at roughly -13%. The stock trades at just $1.19 with average daily dollar volume of roughly $2.0M, barely clearing the liquidity floor, and any further leadership disruption could reignite the revenue slide before the SaaS/ARR mix shift is far enough along to offset it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ARR growth above the current 13% pace, pushing the SaaS/recurring mix past 42% of total revenue and improving overall gross-margin durability [1]</w:t>
      </w:r>
    </w:p>
    <w:p>
      <w:pPr>
        <w:spacing w:before="40" w:after="40"/>
        <w:ind w:left="283"/>
      </w:pPr>
      <w:r>
        <w:rPr>
          <w:rFonts w:ascii="Calibri" w:hAnsi="Calibri"/>
          <w:b/>
          <w:color w:val="4A6B25"/>
          <w:sz w:val="20"/>
        </w:rPr>
        <w:t xml:space="preserve">2. </w:t>
      </w:r>
      <w:r>
        <w:rPr>
          <w:rFonts w:ascii="Calibri" w:hAnsi="Calibri"/>
          <w:b w:val="0"/>
          <w:color w:val="3A4A28"/>
          <w:sz w:val="20"/>
        </w:rPr>
        <w:t>Stabilization of the executive team under CEO Frank Martell after a period of severe leadership churn, which could restore employee and customer confidence [3]</w:t>
      </w:r>
    </w:p>
    <w:p>
      <w:pPr>
        <w:spacing w:before="40" w:after="40"/>
        <w:ind w:left="283"/>
      </w:pPr>
      <w:r>
        <w:rPr>
          <w:rFonts w:ascii="Calibri" w:hAnsi="Calibri"/>
          <w:b/>
          <w:color w:val="4A6B25"/>
          <w:sz w:val="20"/>
        </w:rPr>
        <w:t xml:space="preserve">3. </w:t>
      </w:r>
      <w:r>
        <w:rPr>
          <w:rFonts w:ascii="Calibri" w:hAnsi="Calibri"/>
          <w:b w:val="0"/>
          <w:color w:val="3A4A28"/>
          <w:sz w:val="20"/>
        </w:rPr>
        <w:t>Continued progress toward consistent positive adjusted EBITDA following the Q4 2025 milestone, potentially attracting value-oriented investors at the current sub-book valuation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leadership instability -- three CEO changes in roughly a year and a 2.9/5 Glassdoor culture score -- creates elevated execution risk for any strategic turnaround [3]</w:t>
      </w:r>
    </w:p>
    <w:p>
      <w:pPr>
        <w:spacing w:before="40" w:after="40"/>
        <w:ind w:left="283"/>
      </w:pPr>
      <w:r>
        <w:rPr>
          <w:rFonts w:ascii="Calibri" w:hAnsi="Calibri"/>
          <w:b/>
          <w:color w:val="4A6B25"/>
          <w:sz w:val="20"/>
        </w:rPr>
        <w:t xml:space="preserve">2. </w:t>
      </w:r>
      <w:r>
        <w:rPr>
          <w:rFonts w:ascii="Calibri" w:hAnsi="Calibri"/>
          <w:b w:val="0"/>
          <w:color w:val="3A4A28"/>
          <w:sz w:val="20"/>
        </w:rPr>
        <w:t>Total revenue has declined 36% from its 2023 peak, and renewed hardware-revenue weakness could outpace ARR growth, delaying the path to sustained profitability [1][2]</w:t>
      </w:r>
    </w:p>
    <w:p>
      <w:pPr>
        <w:spacing w:before="40" w:after="40"/>
        <w:ind w:left="283"/>
      </w:pPr>
      <w:r>
        <w:rPr>
          <w:rFonts w:ascii="Calibri" w:hAnsi="Calibri"/>
          <w:b/>
          <w:color w:val="4A6B25"/>
          <w:sz w:val="20"/>
        </w:rPr>
        <w:t xml:space="preserve">3. </w:t>
      </w:r>
      <w:r>
        <w:rPr>
          <w:rFonts w:ascii="Calibri" w:hAnsi="Calibri"/>
          <w:b w:val="0"/>
          <w:color w:val="3A4A28"/>
          <w:sz w:val="20"/>
        </w:rPr>
        <w:t>Average daily dollar volume of roughly $2.0M provides only a thin cushion above the $1M IOWN liquidity floor, creating position-sizing and exit constraints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SmartRent's hardware layer -- smart locks, access control, and IoT sensors physically installed across multifamily properties -- creates real switching-cost moats that AI cannot directly disrupt, and property managers face meaningful friction replacing an installed device base [1]. However, the software/property-management layer that differentiates SmartRent's platform is more exposed: larger multifamily software platforms (RealPage, Yardi) and AI-native proptech entrants could embed comparable automation and resident-communication features without SmartRent's hardware legacy costs, and the company's ongoing leadership instability limits its capacity to respond to competitive AI feature launches. No specific analyst commentary on AI disruption risk for SmartRent was identified, so this is scored on structural exposure rather than explicit analyst warnings. AI Opportunity (0/1): No AI-generated revenue or shipping AI product was identified in research.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SmartRent Reports Fourth Quarter and Full-Year 2025 Financial Results — Investors.SmartRent.com, February 2026</w:t>
      </w:r>
    </w:p>
    <w:p>
      <w:pPr>
        <w:spacing w:before="20" w:after="20"/>
        <w:ind w:left="170"/>
      </w:pPr>
      <w:r>
        <w:rPr>
          <w:rFonts w:ascii="Calibri" w:hAnsi="Calibri"/>
          <w:b/>
          <w:color w:val="4A6B25"/>
          <w:sz w:val="15"/>
        </w:rPr>
        <w:t xml:space="preserve">2. </w:t>
      </w:r>
      <w:r>
        <w:rPr>
          <w:rFonts w:ascii="Calibri" w:hAnsi="Calibri"/>
          <w:b w:val="0"/>
          <w:color w:val="3A4A28"/>
          <w:sz w:val="17"/>
        </w:rPr>
        <w:t>SmartRent, Inc. Q1 and Q2 2026 Form 8-K Filings — SEC EDGAR, 2026</w:t>
      </w:r>
    </w:p>
    <w:p>
      <w:pPr>
        <w:spacing w:before="20" w:after="20"/>
        <w:ind w:left="170"/>
      </w:pPr>
      <w:r>
        <w:rPr>
          <w:rFonts w:ascii="Calibri" w:hAnsi="Calibri"/>
          <w:b/>
          <w:color w:val="4A6B25"/>
          <w:sz w:val="15"/>
        </w:rPr>
        <w:t xml:space="preserve">3. </w:t>
      </w:r>
      <w:r>
        <w:rPr>
          <w:rFonts w:ascii="Calibri" w:hAnsi="Calibri"/>
          <w:b w:val="0"/>
          <w:color w:val="3A4A28"/>
          <w:sz w:val="17"/>
        </w:rPr>
        <w:t>SmartRent Glassdoor Employee Reviews and Leadership Turnover Coverage — Glassdoor.com,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Simply Wall St / Yahoo Finance — SMRT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