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SMTC</w:t>
      </w:r>
      <w:r>
        <w:rPr>
          <w:rFonts w:ascii="Calibri" w:hAnsi="Calibri"/>
          <w:b/>
          <w:color w:val="1A2010"/>
          <w:sz w:val="40"/>
        </w:rPr>
        <w:t xml:space="preserve">  Semtech Corporation</w:t>
      </w:r>
    </w:p>
    <w:p>
      <w:pPr>
        <w:spacing w:after="120"/>
      </w:pPr>
      <w:r>
        <w:rPr>
          <w:rFonts w:ascii="Calibri" w:hAnsi="Calibri"/>
          <w:b/>
          <w:color w:val="6E8450"/>
          <w:sz w:val="18"/>
        </w:rPr>
        <w:t>GROWTH SLEEVE · 2026-09-17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Semtech Corporation designs and manufactures high-performance analog and mixed-signal semiconductors, signal integrity products (including optical DSPs and Linear Pluggable Optics), and IoT systems/cloud connectivity solutions. Under CEO Dr. Hong Hou (since June 2024), Semtech has repositioned itself from a post-restructuring turnaround story into an AI data center infrastructure supplier, with data center revenue forecast to grow over 50% year-over-year in fiscal 2027 and FY2026 revenue of $1.05B (+16%).</w:t>
      </w:r>
    </w:p>
    <w:p>
      <w:r>
        <w:rPr>
          <w:rFonts w:ascii="Calibri" w:hAnsi="Calibri"/>
          <w:b/>
          <w:color w:val="6E8450"/>
          <w:sz w:val="18"/>
        </w:rPr>
        <w:t>1,920 Employees · https://www.semtech.com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(1/1): Under CEO Hong Hou (since June 2024), Semtech reversed a multi-year decline — FY2025's $2.26/share loss narrowed to a $0.46 loss in FY2026, with FY2026 revenue reaching $1.05B (+16%) and Q1 FY2027 revenue hitting a record $291.0M (+16% YoY, EPS of $0.51 beating the $0.45 consensus) [1]. AI Deployment (2/2): Semtech has become a critical optical-interconnect supplier to hyperscalers including Microsoft and Google via its Linear Pluggable Optics (LPO) portfolio, with management stating gain-chip demand 'will probably outpace capacity by about 3x' — a high-quality, demand-constrained problem [2]. Market Share (1/1): Positioning as an early mover in the 1.6T and 3.2T optical interconnect cycles, reinforced by the HieFo Corporation acquisition for Indium Phosphide laser IP, which analysts call a 'masterstroke' securing Semtech's place in next-generation AI networking [2]. Pipeline (1/1): Data center revenue is guided to grow over 50% YoY in FY2027, with Q2 FY2027 revenue guidance of $323-333M (27% YoY at midpoint) exceeding consensus [1]. R&amp;D Intensity (1/2): The board has been refreshed with hyperscale cloud infrastructure expertise and management streamlined around 'high-value silicon' engineering rather than low-margin hardware, reflecting elevated R&amp;D focus, though the company does not disclose R&amp;D-to-revenue detail relative to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Semtech positions itself around semiconductor solutions that 'connect, protect and optimize' the intelligent edge and AI infrastructure — a functional description of the business rather than a distinctively transformative cause. Community Impact (3/3): Semtech has a dedicated Chief Legal &amp; ESG Officer role, published its first ESG report in 2023, and independent Inspire Insight research attributes it 20 distinct positive ESG practices spanning ethical labor, human rights, GHG emissions, water conservation, product safety and customer privacy — an unusually broad footprint for a mid-cap fabless semiconductor company [3]. Employee Retention (1/2): The post-2024 management and board refresh under CEO Hou, alongside analyst praise for 'transparent guidance,' suggests improving organizational stability after a turbulent turnaround period, though no explicit tenure/turnover data is available. Insider Buying (0/2): No evidence found of recent net insider buying by CEO Hou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weighting (PEG, ROE and Revenue 5yr CAGR at 2x weight); 5-year revenue CAGR is excluded as unavailable given multiple restructuring-era revenue resets that make a single historical CAGR figure unreliable. D/E of 70.1% sits almost exactly at the 70% target (score ~1.0), ROE of 23.7% clears the 15% target (score 1.0, 2x weight), revenue grew 32.7% YoY well above the 10% target (score 1.0), forward P/E of 28.71 scores 0.78 against the 20x target/60x floor, profit margin of 13.1% scores 0.66 against the 20% target, and an estimated forward PEG of ~1.2 (28.71x forward P/E against roughly 24%/yr consensus 3-year growth) scores 0.9 against the 1.0x target (2x weight) [1][4]. The blended mechanical score is approximately 9/10. Average daily dollar volume of ~$565M provides deep liquidity, clearing the floor with enormous margin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Under CEO Hong Hou, Semtech made a genuine existential bet — pivoting from a diversified, underperforming analog/IoT portfolio into a focused AI optical-interconnect supplier, refreshing its board with hyperscale cloud expertise and acquiring laser IP (HieFo) to secure its position in the 1.6T/3.2T optical cycle. This is a real long-horizon strategic transformation rather than incremental optimization, though it remains recent (since mid-2024) and concentrated in a single, currently white-hot AI infrastructure cycle whose durability is unproven.</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Semtech frames its purpose around enabling the physical connectivity infrastructure underlying AI and cloud computing — a real, durable technology mission — but the articulation remains functional/product-centric rather than a distinctively higher cause, and the company's own history of restructuring and leadership turnover suggests the cause was defined recently rather than lived over a long period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Analysts note the streamlined management team is 'praised... for its transparent guidance,' and the board refresh added credible hyperscale infrastructure expertise, both signs of rebuilding organizational trust after the pre-2024 turnaround period; independent employee sentiment or retention data was not found to corroborate further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Semtech competes with Broadcom, MaxLinear, Marvell and Coherent in optical interconnect and analog signal chains; management's public commentary focuses on capacity execution and technology roadmap (1.6T/3.2T) rather than explicit competitor benchmarking, but the vertical-integration strategy (HieFo laser IP acquisition) reflects a learning, capability-building posture rather than pure rivalry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Semtech executed a genuine strategic pivot — new CEO, refreshed board with cloud infrastructure expertise, reallocated R&amp;D toward Linear Pluggable Optics, and acquired HieFo for Indium Phosphide laser technology to secure the 1.6T/3.2T optical cycle — a substantive reinvention of the business model away from its prior diversified IoT/analog mix, not incremental tinkering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partial): CEO Hou's decision to concentrate R&amp;D and capital around a capacity-constrained, high-risk/high-reward AI optical bet — including the HieFo acquisition — while the company was still recovering from a $2.26/share FY2025 loss required real conviction; some of this was arguably forced by the need to escape a structurally underperforming legacy portfolio rather than proactive strength, tempering the score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Semtech has transformed from a post-restructuring turnaround story into a capacity-constrained AI infrastructure supplier, with FY2026 revenue of $1.05B (+16%) accelerating to Q1 FY2027 record revenue of $291.0M and Q2 FY2027 guidance of $323-333M (27% YoY at midpoint, above consensus) [1]. Management guides data center revenue to grow over 50% YoY in FY2027, driven by Linear Pluggable Optics demand from hyperscalers that CEO Hong Hou says will 'probably outpace capacity by about 3x' — a demand-constrained setup rare in semiconductors [2]. The HieFo acquisition secures Indium Phosphide laser IP for the 1.6T/3.2T optical cycle, and a refreshed board with hyperscale cloud expertise supports execution. ROE of 23.7% and profit margin of 13.1% already reflect a business that has returned to sustained profitability after a difficult FY2025 [1][4].</w:t>
      </w:r>
    </w:p>
    <w:p>
      <w:pPr>
        <w:spacing w:after="120"/>
      </w:pPr>
      <w:r>
        <w:rPr>
          <w:rFonts w:ascii="Calibri" w:hAnsi="Calibri"/>
          <w:b w:val="0"/>
          <w:color w:val="3A4A28"/>
          <w:sz w:val="20"/>
        </w:rPr>
        <w:t>The bear case centers on cyclicality and concentration: Semtech's growth narrative is now heavily levered to a single theme — AI data center optical interconnect demand — and any slowdown in hyperscaler capital expenditure, a competitive share loss to Broadcom, MaxLinear, or Coherent, or normalization of the current 3x demand/supply imbalance could compress both revenue growth and the current 28.7x forward earnings multiple [1][2]. Trailing P/E of 99.7x reflects a depressed trailing earnings base still working through the FY2025 downturn, meaning near-term earnings quality remains less proven than the forward-looking growth narrative suggests. D/E of 70.1% is right at the mechanical target but leaves less balance-sheet cushion than a net-cash competitor if the AI capex cycle decelerates faster than expected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data center revenue guided to grow over 50% YoY, with Q2 FY2027 revenue guidance of $323-333M already exceeding consensus by roughly 9% at the midpoint [1]</w:t>
      </w:r>
    </w:p>
    <w:p>
      <w:pPr>
        <w:spacing w:before="40" w:after="40"/>
        <w:ind w:left="283"/>
      </w:pPr>
      <w:r>
        <w:rPr>
          <w:rFonts w:ascii="Calibri" w:hAnsi="Calibri"/>
          <w:b/>
          <w:color w:val="4A6B25"/>
          <w:sz w:val="20"/>
        </w:rPr>
        <w:t xml:space="preserve">2. </w:t>
      </w:r>
      <w:r>
        <w:rPr>
          <w:rFonts w:ascii="Calibri" w:hAnsi="Calibri"/>
          <w:b w:val="0"/>
          <w:color w:val="3A4A28"/>
          <w:sz w:val="20"/>
        </w:rPr>
        <w:t>HieFo Corporation acquisition secures Indium Phosphide laser IP positioning Semtech for the 1.6T and 3.2T optical interconnect cycles as hyperscalers upgrade AI networking infrastructure [2]</w:t>
      </w:r>
    </w:p>
    <w:p>
      <w:pPr>
        <w:spacing w:before="40" w:after="40"/>
        <w:ind w:left="283"/>
      </w:pPr>
      <w:r>
        <w:rPr>
          <w:rFonts w:ascii="Calibri" w:hAnsi="Calibri"/>
          <w:b/>
          <w:color w:val="4A6B25"/>
          <w:sz w:val="20"/>
        </w:rPr>
        <w:t xml:space="preserve">3. </w:t>
      </w:r>
      <w:r>
        <w:rPr>
          <w:rFonts w:ascii="Calibri" w:hAnsi="Calibri"/>
          <w:b w:val="0"/>
          <w:color w:val="3A4A28"/>
          <w:sz w:val="20"/>
        </w:rPr>
        <w:t>Gain-chip demand reported to be outpacing supply by roughly 3x, indicating pricing power and multi-year revenue visibility once capacity additions come online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concentration in a single AI data center optical-interconnect growth driver means any hyperscaler capex slowdown or share loss to Broadcom, MaxLinear, or Coherent could sharply reduce the &gt;50% data center growth guidance [1][2]</w:t>
      </w:r>
    </w:p>
    <w:p>
      <w:pPr>
        <w:spacing w:before="40" w:after="40"/>
        <w:ind w:left="283"/>
      </w:pPr>
      <w:r>
        <w:rPr>
          <w:rFonts w:ascii="Calibri" w:hAnsi="Calibri"/>
          <w:b/>
          <w:color w:val="4A6B25"/>
          <w:sz w:val="20"/>
        </w:rPr>
        <w:t xml:space="preserve">2. </w:t>
      </w:r>
      <w:r>
        <w:rPr>
          <w:rFonts w:ascii="Calibri" w:hAnsi="Calibri"/>
          <w:b w:val="0"/>
          <w:color w:val="3A4A28"/>
          <w:sz w:val="20"/>
        </w:rPr>
        <w:t>Trailing P/E of 99.7x reflects earnings still recovering from a $2.26/share FY2025 loss, and current profitability metrics (13.1% margin, 23.7% ROE) have only a short track record post-turnaround [1][4]</w:t>
      </w:r>
    </w:p>
    <w:p>
      <w:pPr>
        <w:spacing w:before="40" w:after="40"/>
        <w:ind w:left="283"/>
      </w:pPr>
      <w:r>
        <w:rPr>
          <w:rFonts w:ascii="Calibri" w:hAnsi="Calibri"/>
          <w:b/>
          <w:color w:val="4A6B25"/>
          <w:sz w:val="20"/>
        </w:rPr>
        <w:t xml:space="preserve">3. </w:t>
      </w:r>
      <w:r>
        <w:rPr>
          <w:rFonts w:ascii="Calibri" w:hAnsi="Calibri"/>
          <w:b w:val="0"/>
          <w:color w:val="3A4A28"/>
          <w:sz w:val="20"/>
        </w:rPr>
        <w:t>Capacity constraints cited by management (~3x demand versus supply) are a double-edged signal — they support pricing power today but also mean Semtech may be unable to fully capture near-term demand, ceding share to better-capitalized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Semtech's core signal-integrity and optical interconnect business is a direct beneficiary of AI infrastructure buildout rather than a target of AI substitution — its chips are physical enabling components for the hyperscale data centers training and running AI models, insulating it from the software-automation risks facing many technology businesses [1][2]. AI Opportunity (1/1): Management explicitly frames the company's growth strategy around AI data center demand, guiding data center revenue to grow over 50% YoY in FY2027 and describing gain-chip demand as outpacing supply by roughly 3x — AI is unambiguously the company's primary growth engine, not a disruption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Semtech Q4 FY2026 and Q1 FY2027 Earnings Releases and Call Transcripts — Investing.com, SEC 8-K filings, Semtech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FinancialContent / Simply Wall St — 'Semtech: From IoT Pioneer to AI Interconnect Powerhouse' and capacity/leadership analysis, 2026</w:t>
      </w:r>
    </w:p>
    <w:p>
      <w:pPr>
        <w:spacing w:before="20" w:after="20"/>
        <w:ind w:left="170"/>
      </w:pPr>
      <w:r>
        <w:rPr>
          <w:rFonts w:ascii="Calibri" w:hAnsi="Calibri"/>
          <w:b/>
          <w:color w:val="4A6B25"/>
          <w:sz w:val="15"/>
        </w:rPr>
        <w:t xml:space="preserve">3. </w:t>
      </w:r>
      <w:r>
        <w:rPr>
          <w:rFonts w:ascii="Calibri" w:hAnsi="Calibri"/>
          <w:b w:val="0"/>
          <w:color w:val="3A4A28"/>
          <w:sz w:val="17"/>
        </w:rPr>
        <w:t>Semtech Corporate Citizenship (ESG) disclosures and SEC DEF 14A filings,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SMTC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