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SM</w:t>
      </w:r>
      <w:r>
        <w:rPr>
          <w:rFonts w:ascii="Calibri" w:hAnsi="Calibri"/>
          <w:b/>
          <w:color w:val="1A2010"/>
          <w:sz w:val="40"/>
        </w:rPr>
        <w:t xml:space="preserve">  SM Energy Company</w:t>
      </w:r>
    </w:p>
    <w:p>
      <w:pPr>
        <w:spacing w:after="120"/>
      </w:pPr>
      <w:r>
        <w:rPr>
          <w:rFonts w:ascii="Calibri" w:hAnsi="Calibri"/>
          <w:b/>
          <w:color w:val="6E8450"/>
          <w:sz w:val="18"/>
        </w:rPr>
        <w:t>DIVIDEND SLEEVE · 2026-10-16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SM Energy Company is an independent oil and gas exploration and production company operating in the Midland Basin, South Texas, Uinta Basin, and DJ Basin. Founded in 1908 as St. Mary Land &amp; Exploration, the company completed a transformative merger with Civitas Resources in 2025, more than doubling its production base. Q2 2026 revenue was $2.50B (+215% YoY) with production of 40M BOE (up from 19M YoY), and the company raised its second-half production outlook while maintaining full-year capital guidance.</w:t>
      </w:r>
    </w:p>
    <w:p>
      <w:r>
        <w:rPr>
          <w:rFonts w:ascii="Calibri" w:hAnsi="Calibri"/>
          <w:b/>
          <w:color w:val="6E8450"/>
          <w:sz w:val="18"/>
        </w:rPr>
        <w:t>1,241 Employees · https://www.sm-energy.com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SM Energy completed the transformative Civitas Resources merger in 2025, which more than doubled production from ~19M to ~40M BOE quarterly and expanded operations into the DJ Basin, making SM one of the largest independent E&amp;P operators in the U.S. [1]. Q2 2026 revenue surged 215% YoY to $2.50B, with adjusted EPS of $2.19 (+46%). Earlier expansion into the Uinta Basin demonstrated strategic portfolio management across high-quality basins. AI Deployment (0/2): No evidence of AI deployment with measurable results. SM Energy is a conventional E&amp;P operator without publicly reported AI-driven products, cost savings, or operational efficiencies [2]. Market Share (0/2): Post-Civitas, SM Energy is a larger independent E&amp;P but is not a category leader. The company competes in the highly fragmented U.S. onshore production space alongside larger operators like Diamondback, Devon, and the integrated majors. Product Pipeline (0/2): Oil and gas E&amp;P companies do not have traditional product pipelines. SM Energy's future growth is driven by reserves, well inventory depth, and drilling programs rather than discrete product launches. Analyst scrutiny of Permian inventory depth claims adds uncertainty [1]. R&amp;D Intensity (0/1): E&amp;P companies have minimal R&amp;D spending relative to revenue, and SM Energy's R&amp;D is not notable for its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SM Energy's stated purpose is functional — an independent energy company engaged in producing crude oil, natural gas, and NGLs [2]. The company emphasizes that 'everyone is a leader, regardless of title, position or tenure' and holds quarterly CEO-led town halls, but the mission is generic and interchangeable with any E&amp;P peer. Community Impact (1/2): SM Energy achieved zero routine flaring (beating internal targets), implemented LDAR at 100% of Midland Basin and 50% of South Texas locations, and built water handling infrastructure in Howard County that reduces emissions, truck traffic, and operating costs [2][3]. ESG metrics are included in both short-term and long-term executive compensation plans. These are specific, measurable programs. Employee Retention (1/2): Glassdoor reviews give SM Energy 3.5/5 with 79% CEO approval. Employees describe responsive leadership and positive outlook, though some cite understaffing and harassment concerns [2]. As a company founded in 1908, organizational continuity is evident. No red flags on systemic cultural instability.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D/E of 95.1% scores 0.89 through linear interpolation (1x weight), reflecting post-Civitas merger leverage that increased from ~59% to current levels [4]. ROE of 16.1% exceeds the 15% target (score 1.0). Revenue growth YoY of 176.1% scores 1.0, driven by the Civitas merger doubling the production base [1]. Forward P/E of 4.5x is far below the 20x target (score 1.0), and the PEG ratio of 0.63 is well below the 1.0 target. Profit margin of 20.2% just exceeds the 20% target (score 1.0). Payout ratio of 18.4% scores 1.0 at 1x weight. Consecutive years paid of 32 (since 1994) scores 1.0 at 2x weight. Consecutive years growth of ~5 (post-COVID reinstatement) scores 0.5 at 1x weight. 5yr dividend growth CAGR is extremely high due to the 2020 cut/restoration, scoring 1.0 at 2x weight. Revenue growth 5yr CAGR is unavailable and excluded. Daily dollar volume of ~$136M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SM Energy is a well-run but finite-game player in oil and gas. The Civitas merger, Uinta Basin expansion, and environmental stewardship demonstrate competent capital allocation, but the underlying purpose is maximizing shareholder returns from hydrocarbon production rather than advancing a durable Just Cause. The 118-year corporate history provides continuity, but the E&amp;P industry's structural relationship with quarterly earnings guidance and commodity price optimization is inherently finite. The company does the right things operationally but lacks the transcendent purpose Sinek looks for.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SM Energy's stated purpose is functional — producing oil, gas, and NGLs profitably [2]. The company emphasizes 'everyone is a leader' culture and environmental stewardship (zero routine flaring, water infrastructure), but these are operational values rather than a Just Cause. There is no articulated vision of a future state worth sacrificing for. The 118-year history suggests institutional durability, but Sinek would note that longevity alone does not equal infinite game thinking — it can equally indicate inertia in an extractive industry.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SM Energy emphasizes that 'everyone is a leader, regardless of title, position or tenure,' and quarterly CEO-led town halls provide transparent business updates [2]. Glassdoor reviews at 3.5/5 with 79% CEO approval indicate an adequate work environment. However, some reviews cite understaffing, harassment concerns, and an old-fashioned management structure, suggesting mixed signals on psychological safety [2]. No specific voluntary turnover or tenure data distinguishes the culture as exceptional.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SM Energy's strategic positioning is framed around asset quality, operational efficiency, and accretive acquisitions — standard E&amp;P industry language oriented around winning the capital allocation game rather than learning from competitors [1]. The company has not publicly acknowledged rivals'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SM Energy evolved from a small single-basin operator to a multi-basin E&amp;P powerhouse through the transformative Civitas merger and Uinta Basin expansion, significantly altering its geographic footprint and production scale [1]. However, these were incremental expansions within oil and gas E&amp;P rather than a transformative reinvention. The company remains fundamentally a hydrocarbon producer with no diversification into renewables or alternative energy.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Civitas merger was a bold strategic decision that more than doubled SM Energy's production base, requiring significant capital commitment and integration risk during commodity price uncertainty [1]. The company invested in environmental stewardship beyond regulatory requirements — achieving zero routine flaring, building water infrastructure — accepting upfront costs that many E&amp;P peers avoid. However, these decisions primarily serve shareholder value through operational efficiency rather than reflecting sacrifice of short-term returns for a principled long-term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 Energy at $37.52 with a forward P/E of 4.5x and PEG of 0.63 is among the cheapest E&amp;P stocks in the market, and the Civitas merger is delivering immediately — Q2 2026 revenue of $2.50B (+215% YoY) with adjusted EPS of $2.19 (+46%) and production doubling to 40M BOE demonstrate the enlarged asset base's earnings power [1]. Financial metrics are strong: ROE of 16.1%, profit margin of 20.2%, and the dividend (paid since 1994, 32 consecutive years) yields 2.35% with a sub-19% payout ratio leaving substantial room for dividend growth and share buybacks. The company raised its H2 2026 production outlook while maintaining capital guidance, signaling operational discipline. Environmental stewardship (zero routine flaring, ESG in executive comp) positions SM Energy as an ESG-credible E&amp;P name [2][3]. The Inspire Impact Score of 46 (ALIGNED) with strong positive attributions supports faith-based allocation.</w:t>
      </w:r>
    </w:p>
    <w:p>
      <w:pPr>
        <w:spacing w:after="120"/>
      </w:pPr>
      <w:r>
        <w:rPr>
          <w:rFonts w:ascii="Calibri" w:hAnsi="Calibri"/>
          <w:b w:val="0"/>
          <w:color w:val="3A4A28"/>
          <w:sz w:val="20"/>
        </w:rPr>
        <w:t>The bear case centers on commodity price dependency, elevated leverage, and energy transition headwinds. Revenue growth of 215% YoY is entirely merger-driven — organic growth ex-Civitas would be modest, and D/E has risen to 95.1% from pre-merger levels, creating earnings sensitivity to interest rates and commodity prices [4]. Oil price sensitivity is extreme: a sustained $10/barrel decline in WTI would significantly compress the 20.2% profit margin. Analyst scrutiny of SM Energy's Permian inventory depth claims raises questions about long-term drilling runway and whether the company can sustain production without further acquisitions [1]. Q1 2026 EPS of $1.55 actually declined 11.9% YoY despite 76% revenue growth, highlighting the margin compression risk when commodity prices soften. Long-term, the energy transition toward renewables and EVs creates secular headwinds for fossil fuel demand, and SM Energy has no renewable or alternative energy diversification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 Civitas integration synergies could improve per-unit economics across the expanded four-basin footprint, potentially driving further margin expansion beyond the current 20.2% profit margin as operational redundancies are eliminated [1]</w:t>
      </w:r>
    </w:p>
    <w:p>
      <w:pPr>
        <w:spacing w:before="40" w:after="40"/>
        <w:ind w:left="283"/>
      </w:pPr>
      <w:r>
        <w:rPr>
          <w:rFonts w:ascii="Calibri" w:hAnsi="Calibri"/>
          <w:b/>
          <w:color w:val="4A6B25"/>
          <w:sz w:val="20"/>
        </w:rPr>
        <w:t xml:space="preserve">2. </w:t>
      </w:r>
      <w:r>
        <w:rPr>
          <w:rFonts w:ascii="Calibri" w:hAnsi="Calibri"/>
          <w:b w:val="0"/>
          <w:color w:val="3A4A28"/>
          <w:sz w:val="20"/>
        </w:rPr>
        <w:t>AI-driven data center electricity demand creating a structural tailwind for natural gas pricing, directly benefiting SM Energy's gas production as utilities build gas-fired baseload and peaking plants to support compute infrastructure [2]</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from the $0.88 annual ($0.22/quarter) with a sub-19% payout ratio provides significant room for increases — management's commitment to shareholder returns could attract income-oriented investors to the deeply discounted equity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Oil and natural gas price volatility directly determines SM Energy's earnings — Q1 2026 demonstrated this when EPS declined 11.9% YoY despite 76% revenue growth, and a sustained WTI decline below $60/barrel would compress margins and likely force dividend reduction [1][4]</w:t>
      </w:r>
    </w:p>
    <w:p>
      <w:pPr>
        <w:spacing w:before="40" w:after="40"/>
        <w:ind w:left="283"/>
      </w:pPr>
      <w:r>
        <w:rPr>
          <w:rFonts w:ascii="Calibri" w:hAnsi="Calibri"/>
          <w:b/>
          <w:color w:val="4A6B25"/>
          <w:sz w:val="20"/>
        </w:rPr>
        <w:t xml:space="preserve">2. </w:t>
      </w:r>
      <w:r>
        <w:rPr>
          <w:rFonts w:ascii="Calibri" w:hAnsi="Calibri"/>
          <w:b w:val="0"/>
          <w:color w:val="3A4A28"/>
          <w:sz w:val="20"/>
        </w:rPr>
        <w:t>Post-merger leverage at 95.1% D/E creates balance sheet risk in a downturn, and analyst scrutiny of Permian inventory depth claims raises questions about whether SM Energy can sustain its production growth trajectory without further accretive acquisitions [1]</w:t>
      </w:r>
    </w:p>
    <w:p>
      <w:pPr>
        <w:spacing w:before="40" w:after="40"/>
        <w:ind w:left="283"/>
      </w:pPr>
      <w:r>
        <w:rPr>
          <w:rFonts w:ascii="Calibri" w:hAnsi="Calibri"/>
          <w:b/>
          <w:color w:val="4A6B25"/>
          <w:sz w:val="20"/>
        </w:rPr>
        <w:t xml:space="preserve">3. </w:t>
      </w:r>
      <w:r>
        <w:rPr>
          <w:rFonts w:ascii="Calibri" w:hAnsi="Calibri"/>
          <w:b w:val="0"/>
          <w:color w:val="3A4A28"/>
          <w:sz w:val="20"/>
        </w:rPr>
        <w:t>Long-term energy transition toward renewables and EVs creates secular demand risk for oil and gas, and SM Energy has zero diversification into alternative energy — the company's entire revenue stream depends on continued fossil fuel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SM Energy's core business — drilling, completing, and operating oil and gas wells in the Permian, DJ, and Uinta basins — involves physical-world resource extraction that AI structurally cannot displace [1]. Wells must be drilled, fracture-stimulated, and produced through physical operations requiring heavy equipment and geological expertise. AI data center expansion is creating structural tailwinds for natural gas demand as utilities build gas-fired peaking plants, directly benefiting SM Energy's gas production [2]. The company uses conventional E&amp;P technology without evidence of AI-related competitive threats from analysts. AI Opportunity (0/1): SM Energy generates no revenue from AI-related products or services. While the broader E&amp;P industry is beginning to adopt AI for reservoir modeling and predictive maintenance, SM Energy has not reported specific AI-driven revenue contributions.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 Energy Q1 &amp; Q2 2026 Earnings — Q2 Revenue $2.50B (+215% YoY), Adjusted EPS $2.19 (+46%), Production 40M BOE, Raised H2 Outlook, Permian Inventory Depth Scrutiny — Barchart, Eastern Progress, OpenCapital, August 2026</w:t>
      </w:r>
    </w:p>
    <w:p>
      <w:pPr>
        <w:spacing w:before="20" w:after="20"/>
        <w:ind w:left="170"/>
      </w:pPr>
      <w:r>
        <w:rPr>
          <w:rFonts w:ascii="Calibri" w:hAnsi="Calibri"/>
          <w:b/>
          <w:color w:val="4A6B25"/>
          <w:sz w:val="15"/>
        </w:rPr>
        <w:t xml:space="preserve">2. </w:t>
      </w:r>
      <w:r>
        <w:rPr>
          <w:rFonts w:ascii="Calibri" w:hAnsi="Calibri"/>
          <w:b w:val="0"/>
          <w:color w:val="3A4A28"/>
          <w:sz w:val="17"/>
        </w:rPr>
        <w:t>SM Energy Corporate Culture &amp; ESG — Zero Routine Flaring, 100% LDAR Implementation, ESG in Exec Compensation, 'Everyone Is a Leader' Culture, Glassdoor 3.5/5 — SM-energy.com, SEC Proxy, Glassdoor,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SM Energy Sustainability — CDP, TCFD, and SASB Frameworks, Sustainalytics ESG Risk Rating 38.0 (High Risk), Environmental Targets Met — SEC Filings, Sustainalytics,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SM Key Statistics: Stock Price $37.52, Forward P/E 4.51, PEG 0.63, D/E 95.1%, ROE 16.1%, Profit Margin 20.2%, Dividend Yield 2.35%,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