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7232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723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</w:pPr>
      <w:r>
        <w:rPr>
          <w:rFonts w:ascii="Calibri" w:hAnsi="Calibri"/>
          <w:b/>
          <w:color w:val="4A6B25"/>
          <w:sz w:val="56"/>
        </w:rPr>
        <w:t>SNPS</w:t>
      </w:r>
      <w:r>
        <w:rPr>
          <w:rFonts w:ascii="Calibri" w:hAnsi="Calibri"/>
          <w:b/>
          <w:color w:val="1A2010"/>
          <w:sz w:val="40"/>
        </w:rPr>
        <w:t xml:space="preserve">  Synopsys, Inc.</w:t>
      </w:r>
    </w:p>
    <w:p>
      <w:pPr>
        <w:spacing w:after="120"/>
      </w:pPr>
      <w:r>
        <w:rPr>
          <w:rFonts w:ascii="Calibri" w:hAnsi="Calibri"/>
          <w:b/>
          <w:color w:val="6E8450"/>
          <w:sz w:val="18"/>
        </w:rPr>
        <w:t>GROWTH SLEEVE · 2026-09-11 · Inspire: -49 · MIXED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1200" w:type="dxa"/>
      </w:tblPr>
      <w:tblGrid>
        <w:gridCol w:w="10800"/>
      </w:tblGrid>
      <w:tr>
        <w:tc>
          <w:tcPr>
            <w:tcW w:type="dxa" w:w="10800"/>
            <w:shd w:fill="FFF8E1" w:val="clea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D97706"/>
                <w:sz w:val="20"/>
              </w:rPr>
              <w:t>HOLD</w:t>
            </w:r>
          </w:p>
        </w:tc>
      </w:tr>
    </w:tbl>
    <w:p>
      <w:pPr>
        <w:spacing w:before="120" w:after="200"/>
      </w:pPr>
      <w:r>
        <w:rPr>
          <w:rFonts w:ascii="Calibri" w:hAnsi="Calibri"/>
          <w:b/>
          <w:color w:val="1A2010"/>
          <w:sz w:val="80"/>
        </w:rPr>
        <w:t>66</w:t>
      </w:r>
      <w:r>
        <w:rPr>
          <w:rFonts w:ascii="Calibri" w:hAnsi="Calibri"/>
          <w:b w:val="0"/>
          <w:color w:val="9DAF88"/>
          <w:sz w:val="28"/>
        </w:rPr>
        <w:t xml:space="preserve"> / </w:t>
      </w:r>
      <w:r>
        <w:rPr>
          <w:rFonts w:ascii="Calibri" w:hAnsi="Calibri"/>
          <w:b w:val="0"/>
          <w:color w:val="9DAF88"/>
          <w:sz w:val="24"/>
        </w:rPr>
        <w:t>100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COMPANY PROFILE</w:t>
            </w:r>
          </w:p>
        </w:tc>
      </w:tr>
    </w:tbl>
    <w:p>
      <w:r>
        <w:rPr>
          <w:rFonts w:ascii="Calibri" w:hAnsi="Calibri"/>
          <w:b/>
          <w:color w:val="6E8450"/>
          <w:sz w:val="18"/>
        </w:rPr>
        <w:t>Technology · Software - Infrastructure · NASDAQ · United States</w:t>
      </w:r>
    </w:p>
    <w:p>
      <w:pPr>
        <w:spacing w:after="80"/>
      </w:pPr>
      <w:r>
        <w:rPr>
          <w:rFonts w:ascii="Calibri" w:hAnsi="Calibri"/>
          <w:b w:val="0"/>
          <w:color w:val="3A4A28"/>
          <w:sz w:val="20"/>
        </w:rPr>
        <w:t>Synopsys is a leader in electronic design automation (EDA) and semiconductor IP, and following its $35 billion acquisition of Ansys (closed July 17, 2025), now positions itself as the leader in engineering solutions 'from silicon to systems,' spanning chip design, simulation, and system-level analysis [1][2]. Fiscal 2026 revenue is guided to $9.69-9.74 billion, roughly 37% growth, driven by full Ansys integration and continued strength in AI-chip design demand. CEO Sassine Ghazi, a 25+ year company veteran, has led the combined entity since January 2024.</w:t>
      </w:r>
    </w:p>
    <w:p>
      <w:r>
        <w:rPr>
          <w:rFonts w:ascii="Calibri" w:hAnsi="Calibri"/>
          <w:b/>
          <w:color w:val="6E8450"/>
          <w:sz w:val="18"/>
        </w:rPr>
        <w:t>27,000 Employees · https://www.synopsys.com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EXCELLENCE EVALUATION — THINK LIKE AN OWNER (50%)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Innovation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16A34A"/>
          <w:sz w:val="16"/>
        </w:rPr>
        <w:t xml:space="preserve"> STRONG 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9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4961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551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Track Record (3/3): The $35 billion acquisition and integration of Ansys, completed July 2025, is a transformative pivot that redefined Synopsys from a pure EDA vendor into a 'silicon to systems' engineering software leader spanning chip design, IP, and simulation/analysis — a deal expected to drive ~37% revenue growth to $9.7B in FY2026 [1][2]. AI Deployment (2/2): Synopsys.ai and the Fusion Design Platform ship agentic AI-driven chip design tools directly to customers, with Ghazi describing agentic AI as critical to 'bridging the gap between engineering complexity and available engineering resources' [3]. Market Share (2/2): Synopsys holds a dominant duopoly position in EDA alongside Cadence; when Chinese AI lab Moonshot's Kimi K3 model raised disruption fears, BNP Paribas noted 'top firms still prefer Cadence and Synopsys for complex design needs,' confirming entrenched leadership [3]. Product Pipeline (1/2): The Fusion Design Platform and expanding agentic AI copilot roadmap are publicly discussed, but specific next-generation products with hard launch dates and quantified revenue visibility were not identified beyond the current Ansys integration roadmap. R&amp;D Intensity (1/1): As a pure engineering-software company, Synopsys' R&amp;D spend as a percentage of revenue sits well above general software industry norms, reflecting continuous investment in EDA, IP, and now simulation technology.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Inspiration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DC2626"/>
          <w:sz w:val="16"/>
        </w:rPr>
        <w:t xml:space="preserve"> WEAK 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3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654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858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Mission Floor (3/4): Synopsys' stated purpose — delivering 'the most trusted and comprehensive silicon to systems design solutions... that accelerate technology innovation' — is specific and thoughtful, reflecting genuine strategic intentionality validated by the scale of the Ansys combination, though it remains more a capability statement than a transcendent cause [1][2]. Community Impact (0/2): No evidence of distinctive charitable giving, foundation activity, or community investment programs was found in available research. Employee Retention (0/2): No specific employee tenure or voluntary turnover data was identified; CEO Ghazi's 25+ year internal tenure is suggestive of a promote-from-within culture but is not itself evidence of broad-based retention. Insider Buying (0/2): No evidence of net insider buying by executives was found in available disclosures.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Infrastructure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16A34A"/>
          <w:sz w:val="16"/>
        </w:rPr>
        <w:t xml:space="preserve"> STRONG 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8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4409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1102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Mechanically scored using growth-stock weights. Synopsys shows a conservative balance sheet (36% D/E, well under the 70% target) and strong profitability (34.77% profit margin, comfortably above the 20% target), with revenue growth of 42% YoY and a 16.72% 5-year revenue CAGR both clearing their 10% targets [1][4]. ROE of just 5.54% is depressed by the large stock-funded Ansys deal inflating the equity base — a temporary artifact of acquisition accounting rather than a sign of poor capital efficiency — and drags the double-weighted ROE component to a 0.37 score. Forward P/E of 35.01x and a PEG of 1.59 (both above their respective targets of 20x and 1.0x) reflect a premium valuation that assumes continued Ansys-driven growth. Liquidity is not a constraint at ~$477M in average daily dollar volume.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FINITE VS INFINITE GAME — SINEK (25%)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Mindset: </w:t>
      </w:r>
      <w:r>
        <w:rPr>
          <w:rFonts w:ascii="Calibri" w:hAnsi="Calibri"/>
          <w:b/>
          <w:color w:val="B8860B"/>
          <w:sz w:val="22"/>
        </w:rPr>
        <w:t>MIXED</w:t>
      </w:r>
      <w:r>
        <w:rPr>
          <w:rFonts w:ascii="Calibri" w:hAnsi="Calibri"/>
          <w:b w:val="0"/>
          <w:color w:val="6E8450"/>
          <w:sz w:val="22"/>
        </w:rPr>
        <w:t xml:space="preserve">      Overall: </w:t>
      </w:r>
      <w:r>
        <w:rPr>
          <w:rFonts w:ascii="Calibri" w:hAnsi="Calibri"/>
          <w:b/>
          <w:color w:val="B8860B"/>
          <w:sz w:val="28"/>
        </w:rPr>
        <w:t>5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p>
      <w:pPr>
        <w:spacing w:after="120"/>
      </w:pPr>
      <w:r>
        <w:rPr>
          <w:rFonts w:ascii="Calibri" w:hAnsi="Calibri"/>
          <w:b w:val="0"/>
          <w:color w:val="3A4A28"/>
          <w:sz w:val="18"/>
        </w:rPr>
        <w:t>Synopsys shows genuine infinite-game elements — a long-tenured, internally-promoted CEO, a purpose tied to accelerating engineering innovation broadly (not just selling licenses), and a willingness to make a company-defining $35B bet on Ansys to expand beyond its core EDA franchise. But the cause is still closer to a capability statement than a Sinek-style Just Cause, the company has not been tested by a genuine crisis under this framing, and its response to competitive AI threats has been measured business execution rather than evidence of a distinctly non-finite mindset.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Just Cause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7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858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1654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Just Cause (2/3): 'Accelerating technology innovation' and Ghazi's framing of 'bridging the gap between engineering complexity and available engineering resources' connects Synopsys' work to a broader industry-wide problem rather than just its own product roadmap, and leadership references it in describing the Ansys rationale — but it remains largely interchangeable with rival EDA vendors' framing and has not been tested through a genuine existential crisis [2][3].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Trusting Teams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Trusting Teams (1/2): CEO Ghazi's 25+ year tenure across engineering, product, sales, and operations roles before becoming CEO suggests a stable, promote-from-within culture, and no major layoff controversy specific to Synopsys was identified in research — though EE Times has raised industry-wide questions about whether 'AI-assisted design' will pressure EDA headcount, an open question rather than a documented internal trust issue [3].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Worthy Rivals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3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654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858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Worthy Rivals (0/1): Synopsys' public response to competitive and AI-disruption narratives has focused on defending its market position relative to Cadence and emerging AI entrants rather than explicitly framing rivals as sources of self-improvement; no specific 'learning from competitors' language was identified.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Existential Flexibility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Existential Flexibility (1/2): The Ansys acquisition meaningfully expands Synopsys beyond pure EDA into simulation and systems analysis — a real strategic evolution into an adjacent multi-billion-dollar market — but it was executed through acquisition of an established leader rather than an internal reinvention of the core business, making it a significant expansion rather than a full transformative pivot [1][2].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Courage To Lead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Courage to Lead (1/2): Committing $35 billion to the Ansys acquisition — accepting integration risk, purchase-accounting drag on ROE, and a materially more complex combined company — represents a real long-term capability bet, though it was executed from a position of strength (record EDA demand) rather than as a sacrifice of near-term performance, tempering the courage signal [1][2].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INVESTMENT THESIS</w:t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Synopsys is the clearest picks-and-shovels beneficiary of the AI chip boom while also having doubled down on that position through the transformative Ansys acquisition, which is driving ~37% revenue growth to a guided $9.69-9.74B in FY2026 with non-GAAP operating margin guidance raised to 41.5% [1][2]. The combined 'silicon to systems' platform — spanning EDA, IP, and simulation/analysis — creates a broader, stickier product suite with higher switching costs, and despite a brief AI-disruption scare from Moonshot's Kimi K3 model, sell-side analysts including BNP Paribas view the EDA duopoly with Cadence as structurally intact [3]. R&amp;D intensity well above software peer norms and agentic AI tools shipping directly into customer workflows (Synopsys.ai, Fusion Design Platform) support durable innovation leadership [1][3].</w:t>
      </w:r>
    </w:p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The bear case centers on valuation and integration risk. A forward P/E of 35.01x and PEG of 1.59x price in sustained premium growth, and any Ansys integration friction or slower-than-expected synergy realization could compress the multiple meaningfully [4]. ROE of just 5.54% reflects the large equity base issued in the stock-funded Ansys deal, and while this should normalize as synergies materialize, it currently signals diluted near-term capital efficiency. Analysts have already trimmed price targets citing a 'tougher 2026 outlook' with potential EDA headwinds and muted IP growth, and the Moonshot Kimi K3 episode — even if overreaction, per BNP Paribas — illustrates that the market remains nervous about AI-native entrants eroding the EDA moat over a multi-year horizon [3]. Inspiration and Infinite Game evidence remain thin: no community impact or insider buying data was found, and the company's purpose framing, while genuine, has not yet been tested by real adversity under the combined Ansys entity.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CATALYSTS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Full realization of Ansys revenue and cost synergies through FY2026-2027 could validate the $35B deal thesis and support continued double-digit operating margin expansion toward the 41.5% guided midpoint [1][2]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Continued acceleration in AI chip design starts — the core demand driver cited by management — would reinforce Synopsys' positioning as an enabler rather than a casualty of the AI buildout [3]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Expansion of agentic AI copilot adoption (Synopsys.ai, Fusion Design Platform) across the combined EDA/simulation customer base could open incremental high-margin software revenue streams [1][3]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DC2626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RISKS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A premium forward P/E of 35x and PEG above 1.5x leave little room for error; any Ansys integration stumble or EDA demand slowdown could trigger significant multiple compression [4]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Emerging AI-native design tools (e.g., Moonshot's Kimi K3) could erode EDA pricing power over a multi-year horizon even if near-term substitution risk is overstated, per BNP Paribas [3]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ROE dilution from the stock-funded Ansys acquisition may persist longer than expected if synergy realization or combined-entity profitability lags management's timeline [1][4]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AI RESILIENCE (25%)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AI Resilience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16A34A"/>
          <w:sz w:val="16"/>
        </w:rPr>
        <w:t xml:space="preserve"> LOW RISK 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8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4409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1102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AI Risk Protection (7/9): Synopsys' EDA and simulation software is deeply embedded in chip and systems design workflows with high switching costs and proprietary IP, and the AI chip boom is structurally a demand tailwind — more AI chips require more design software, not less. When Moonshot's Kimi K3 model triggered a share-price selloff on AI-disruption fears, BNP Paribas called the reaction 'unwarranted,' noting top semiconductor firms still rely on Cadence and Synopsys for complex design [3]. Some risk remains from open-source AI design tools narrowing the gap over time, and analysts have trimmed price targets on a 'tougher 2026 outlook,' keeping this out of the top IMMUNE tier. AI Opportunity (1/1): Synopsys.ai and agentic AI copilots are shipping to customers today and are explicitly framed by management as a growth driver of accelerating AI chip design starts, the company's core demand engine [3].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FAITH ALIGNMENT — INSPIRE INSIGHT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Inspire Impact Score:  </w:t>
      </w:r>
      <w:r>
        <w:rPr>
          <w:rFonts w:ascii="Calibri" w:hAnsi="Calibri"/>
          <w:b/>
          <w:color w:val="DC2626"/>
          <w:sz w:val="28"/>
        </w:rPr>
        <w:t>-49</w:t>
      </w:r>
      <w:r>
        <w:rPr>
          <w:rFonts w:ascii="Calibri" w:hAnsi="Calibri"/>
          <w:b/>
          <w:color w:val="B8860B"/>
          <w:sz w:val="20"/>
        </w:rPr>
        <w:t xml:space="preserve">    MIXED</w:t>
      </w:r>
    </w:p>
    <w:p>
      <w:pPr>
        <w:spacing w:before="80" w:after="40"/>
      </w:pPr>
      <w:r>
        <w:rPr>
          <w:rFonts w:ascii="Calibri" w:hAnsi="Calibri"/>
          <w:b/>
          <w:color w:val="6E8450"/>
          <w:sz w:val="18"/>
        </w:rPr>
        <w:t xml:space="preserve">Negative: </w:t>
      </w:r>
      <w:r>
        <w:rPr>
          <w:rFonts w:ascii="Calibri" w:hAnsi="Calibri"/>
          <w:b/>
          <w:color w:val="DC2626"/>
          <w:sz w:val="17"/>
        </w:rPr>
        <w:t xml:space="preserve"> LGBT Activism </w:t>
      </w:r>
    </w:p>
    <w:p>
      <w:pPr>
        <w:spacing w:before="80" w:after="40"/>
      </w:pPr>
      <w:r>
        <w:rPr>
          <w:rFonts w:ascii="Calibri" w:hAnsi="Calibri"/>
          <w:b/>
          <w:color w:val="6E8450"/>
          <w:sz w:val="18"/>
        </w:rPr>
        <w:t xml:space="preserve">Positive: </w:t>
      </w:r>
      <w:r>
        <w:rPr>
          <w:rFonts w:ascii="Calibri" w:hAnsi="Calibri"/>
          <w:b/>
          <w:color w:val="16A34A"/>
          <w:sz w:val="17"/>
        </w:rPr>
        <w:t xml:space="preserve"> Business Ethics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Business Resilience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Critical Risk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Customer Privacy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Customer Welfare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Data Security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Employee Wellbeing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Energy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Ethical Labor Practices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Ethical Sales Practices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Ethical Supply Chain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Fair Competition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GHG Emissions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Hiring Ethics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Human Rights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Low Ecological Impact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Materials Efficiency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Product Access and Affordability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Product Safety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Product Sustainability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Regulatory Adherence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Waste and Hazmat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Water Conservation </w:t>
      </w:r>
    </w:p>
    <w:p>
      <w:pPr>
        <w:spacing w:before="120"/>
      </w:pPr>
      <w:r>
        <w:rPr>
          <w:rFonts w:ascii="Calibri" w:hAnsi="Calibri"/>
          <w:b w:val="0"/>
          <w:color w:val="9DAF88"/>
          <w:sz w:val="15"/>
        </w:rPr>
        <w:t>Source: Inspire Insight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RESOURCES</w:t>
            </w:r>
          </w:p>
        </w:tc>
      </w:tr>
    </w:tbl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1. </w:t>
      </w:r>
      <w:r>
        <w:rPr>
          <w:rFonts w:ascii="Calibri" w:hAnsi="Calibri"/>
          <w:b w:val="0"/>
          <w:color w:val="3A4A28"/>
          <w:sz w:val="17"/>
        </w:rPr>
        <w:t>Synopsys FY2026 Guidance and Ansys Integration — Investing.com, Futurum Group, Synopsys Investor Relations Q1-Q3 FY2026 Earnings Releases,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2. </w:t>
      </w:r>
      <w:r>
        <w:rPr>
          <w:rFonts w:ascii="Calibri" w:hAnsi="Calibri"/>
          <w:b w:val="0"/>
          <w:color w:val="3A4A28"/>
          <w:sz w:val="17"/>
        </w:rPr>
        <w:t>Synopsys-Ansys $35B Acquisition Close (July 17, 2025) — DataCenterDynamics, Synopsys Investor Relations, SEC Form 425 filings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3. </w:t>
      </w:r>
      <w:r>
        <w:rPr>
          <w:rFonts w:ascii="Calibri" w:hAnsi="Calibri"/>
          <w:b w:val="0"/>
          <w:color w:val="3A4A28"/>
          <w:sz w:val="17"/>
        </w:rPr>
        <w:t>Synopsys CEO Sassine Ghazi Commentary and AI Disruption Analyst Coverage — Synopsys.com, Seeking Alpha, Yahoo Finance, Futurum Group, EE Times,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4. </w:t>
      </w:r>
      <w:r>
        <w:rPr>
          <w:rFonts w:ascii="Calibri" w:hAnsi="Calibri"/>
          <w:b w:val="0"/>
          <w:color w:val="3A4A28"/>
          <w:sz w:val="17"/>
        </w:rPr>
        <w:t>StockAnalysis.com, GuruFocus, Nasdaq — SNPS Key Statistics: Forward PE 35.01x, PEG 1.59, ROE 5.54%, D/E 0.36, Profit Margin 34.77%, Stock Price $397.18, accessed September 2026</w:t>
      </w:r>
    </w:p>
    <w:p>
      <w:pPr>
        <w:spacing w:before="400"/>
        <w:jc w:val="center"/>
      </w:pPr>
      <w:r>
        <w:rPr>
          <w:rFonts w:ascii="Calibri" w:hAnsi="Calibri"/>
          <w:b w:val="0"/>
          <w:color w:val="9DAF88"/>
          <w:sz w:val="16"/>
        </w:rPr>
        <w:t>Paradiem, LLC dba Intentional Ownership (“IOWN”) is a registered investment advisor. The information provided is for educational and informational purposes only and does not constitute investment advice.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