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SNY</w:t>
      </w:r>
      <w:r>
        <w:rPr>
          <w:rFonts w:ascii="Calibri" w:hAnsi="Calibri"/>
          <w:b/>
          <w:color w:val="1A2010"/>
          <w:sz w:val="40"/>
        </w:rPr>
        <w:t xml:space="preserve">  Sanofi S.A.</w:t>
      </w:r>
    </w:p>
    <w:p>
      <w:pPr>
        <w:spacing w:after="120"/>
      </w:pPr>
      <w:r>
        <w:rPr>
          <w:rFonts w:ascii="Calibri" w:hAnsi="Calibri"/>
          <w:b/>
          <w:color w:val="6E8450"/>
          <w:sz w:val="18"/>
        </w:rPr>
        <w:t>DIVIDEND SLEEVE · 2026-08-30 · Inspire: -75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NASDAQ · France</w:t>
      </w:r>
    </w:p>
    <w:p>
      <w:pPr>
        <w:spacing w:after="80"/>
      </w:pPr>
      <w:r>
        <w:rPr>
          <w:rFonts w:ascii="Calibri" w:hAnsi="Calibri"/>
          <w:b w:val="0"/>
          <w:color w:val="3A4A28"/>
          <w:sz w:val="20"/>
        </w:rPr>
        <w:t>Sanofi S.A. is a global pharmaceutical and healthcare company focused on specialty care (immunology, rare diseases, oncology), vaccines, and general medicines. The blockbuster biologic Dupixent surpassed €5.2B in Q2 2026 quarterly sales (+37.6% YoY), driving company-wide revenue growth of 17.8% CER. CEO Paul Hudson has transformed Sanofi since 2019, separating the Opella consumer health division and pivoting toward immunology-led specialty pharma. TTM revenue of $54.6B. Market cap approximately $114B.</w:t>
      </w:r>
    </w:p>
    <w:p>
      <w:r>
        <w:rPr>
          <w:rFonts w:ascii="Calibri" w:hAnsi="Calibri"/>
          <w:b/>
          <w:color w:val="6E8450"/>
          <w:sz w:val="18"/>
        </w:rPr>
        <w:t>91,000 Employees · https://www.sanofi.com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Sanofi has transformed from a diversified pharma/consumer health conglomerate into a focused specialty care leader under CEO Paul Hudson since 2019, with the Opella consumer health divestiture sharpening strategic focus [1]. Dupixent grew into the world's best-selling antibody, surpassing €5.2B in Q2 2026 quarterly sales (+37.6% YoY) across 14+ approved indications [2]. Pharma launches (ALTUVIIIO, Beyfortus RSV vaccine) grew 49.6% in Q1 2026 and acquisitions of Blueprint Medicines and Dynavax expanded oncology and vaccine franchises. AI Deployment (1/2): Hudson mandated AI integration across the organization through the 'AI Fight Club' initiative, selecting non-experts from each function to 'disrupt yourselves' with agentic AI [3]. Sanofi reported $300M in AI-driven supply chain revenue risk avoidance, but AI drug discovery revenue remains unquantified [4]. Market Share (2/2): Dupixent is the dominant immunology franchise globally — the world's best-selling antibody with annualized revenue exceeding €20B, far ahead of competitors in Type 2 inflammation [2]. Sanofi holds top-3 global vaccine market share (Fluzone, Beyfortus). Product Pipeline (1/2): Multiple late-stage assets advancing: tolebrutinib (BTK inhibitor for MS, Phase 3), amlitelimab (atopic dermatitis), fitusiran (hemophilia), frexalimab (first-in-class MS), and itepekimab (COPD) [1]. R&amp;D Intensity (1/1): R&amp;D spending at approximately 15% of revenue is above the large-cap pharma industry average of 12-14%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Sanofi's purpose — 'We chase the miracles of science to improve people's lives' — is evocative with the 'miracles of science' phrasing, connecting pharmaceuticals to human impact, but remains comparable to peer statements about advancing health outcomes [5]. Community Impact (1/2): Sanofi maintains access-to-medicine programs and the 'AIR' sustainability strategy targeting healthcare access, environmental impact (Net Zero by 2045), and system resilience, with commitments including ending vaccine blister packs by 2027 and 85% renewable electricity. S&amp;P Global ESG Evaluation scored Sanofi 87/100, one of the highest across all sectors [5][6]. Employee Retention (1/2): 83% of employees recommend Sanofi on Glassdoor, but reviews cite low pay relative to pharma peers, lack of stock options, leadership inconsistency, and frequent manager changes [3]. The cultural transformation under Hudson is acknowledged but incomplete. Insider Buying (0/2): Insider transactions are trivially small — approximately EUR 22,683 in planned purchases across four executives in the past 90 days, signaling no meaningful personal conviction in the stock.</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Sanofi's balance sheet is a standout with D/E of just 27%, well below the 70% target [7]. Forward P/E of 8.90 represents deep value relative to the 20 target, reflecting market concern over the 2031 Dupixent patent cliff [7]. Q2 2026 delivered 17.35% YoY revenue growth at actual exchange rates (17.8% CER), driven by Dupixent's 37.6% surge above €5.2B quarterly for the first time [2]. Profit margin of 15.95% is solid but below the 20% target. ROE of 6.58% is the primary weakness, well below the 15% target, dragged by the asset-heavy pharma model with significant acquisition goodwill [7]. Dividend metrics are strong: 31 consecutive years of EUR-denominated increases (2x weight, scores 1.0), 4.80% 5-year dividend growth CAGR, 3.40% yield, and a sustainable 49% payout ratio [1][7]. Liquidity check passes: 2.65M avg daily volume x $45.42 = ~$120M.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Sanofi under Paul Hudson shows emerging infinite game characteristics — the deliberate sacrifice of 2025 margins for long-term AI capability, the divestiture of profitable consumer health (Opella) to focus on specialty care, and cultural transformation from diversified conglomerate to R&amp;D-driven innovator. However, Hudson has only been CEO since 2019, and the vision hasn't been tested through a full economic cycle or leadership transition. The approaching 2031 Dupixent patent cliff will be the true test of whether Sanofi plays an infinite game — the pipeline must deliver successors, and management must resist the temptation to optimize near-term earnings as the cliff approaches.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Sanofi's purpose — 'We chase the miracles of science to improve people's lives' — connects the company's work to meaningful health outcomes, and under Hudson, strategic decisions trace to this purpose: divesting consumer healthcare, sacrificing margins for AI R&amp;D, expanding Dupixent to serve more patient populations including rare diseases where populations are small and returns uncertain [1][3]. However, the current vision is only seven years old under Hudson's leadership and hasn't been tested through a leadership transition or major crisis that would validate it as a true Just Cause in Sinek's framework.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Hudson's approach — giving teams a fixed goal but freedom in how to reach it — creates some empowerment, and the 'AI Fight Club' model of selecting non-experts to 'disrupt yourselves' shows trust-based delegation [3][4]. However, Glassdoor reviews describe management wanting 'yes men' and a proclaimed 'speak up' culture that rarely yields change, suggesting trust is inconsistent across the 91,000-person organization [3]. Cultural transformation is genuine but incomplete.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Sanofi's competitive language under Hudson focuses on self-improvement — becoming 'the first pharma company powered by AI at scale' — rather than defeating specific competitors like AbbVie or Regeneron [3][4]. Strategic acquisitions (Blueprint, Dynavax) show willingness to learn from external innovation rather than building everything internally. Hudson frames Sanofi's AI advantage as self-improvement rather than competitive destruction.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Sanofi has meaningfully evolved under Hudson — divesting the profitable Opella consumer healthcare business and restructuring from a diversified pharma conglomerate into a focused specialty care company concentrated on immunology, rare diseases, and vaccines [1]. The sacrifice of 2025 margins for AI capability shows willingness to accept short-term pain. However, the core business model (discover, develop, market drugs) has not fundamentally changed — these are incremental strategic evolutions,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Hudson's decision to forgo Sanofi's 2025 profit margin target to invest in AI-powered R&amp;D was a genuine sacrifice of short-term earnings for long-term capability [3][4]. The divestiture of profitable consumer health (Opella) to concentrate on specialty care required walking away from stable, predictable revenue. However, these decisions were cushioned by Dupixent's explosive 30%+ growth, meaning the 'courage' carried less relative risk than it would for a company without a €20B+ blockbuster tailwind.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Sanofi is a deep-value pharmaceutical leader trading at just 8.90x forward earnings while delivering accelerating double-digit growth — Q2 2026 revenue surged 17.8% CER with Dupixent surpassing €5.2B quarterly sales (+37.6%) as the world's best-selling antibody [2][7]. TTM revenue of $54.6B generates $11.9B in operating cash flow and $9.9B in free cash flow, supporting a 3.40% dividend yield with 31 consecutive years of EUR-denominated increases and a sustainable 49% payout ratio [7]. The balance sheet is rock-solid at 27% D/E, and pharma launches (ALTUVIIIO, Beyfortus) are growing nearly 50%, diversifying the growth engine beyond Dupixent [1]. CEO Hudson's AI-first transformation has generated $300M in measurable supply chain value and positions Sanofi as the most digitally advanced major pharma [3][4].</w:t>
      </w:r>
    </w:p>
    <w:p>
      <w:pPr>
        <w:spacing w:after="120"/>
      </w:pPr>
      <w:r>
        <w:rPr>
          <w:rFonts w:ascii="Calibri" w:hAnsi="Calibri"/>
          <w:b w:val="0"/>
          <w:color w:val="3A4A28"/>
          <w:sz w:val="20"/>
        </w:rPr>
        <w:t>The bear case centers on Dupixent concentration risk — a single franchise drives the growth narrative with annualized revenue exceeding €20B, and biosimilar competition expected post-2031 patent expiry creates a ticking clock requiring multiple pipeline successes to replace what could be 40%+ of earnings [2]. ROE of 6.58% is weak for a company of this quality, reflecting capital efficiency challenges from an acquisition-heavy growth strategy with significant goodwill [7]. For USD investors, currency headwinds persistently compress returns — FY2025 growth was 12.3% CER but only 5.5% at actual exchange rates, and the 5-year revenue CAGR of 5.4% reflects this drag [1]. Profit margin of 15.95% trails pharma peers like AbbVie and Eli Lilly. The MISALIGNED faith alignment score (-75) driven by Abortion Activism and Embryonic Stem Cells involvement creates screening concerns for faith-oriented portfolios. Management's AI ambitions, while directionally positive, remain largely unquantified beyond the $300M supply chain figure.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Dupixent label expansions into COPD and additional indications could push annualized sales toward €25B by 2028, extending the growth trajectory and strengthening the franchise heading into the patent cliff [2]</w:t>
      </w:r>
    </w:p>
    <w:p>
      <w:pPr>
        <w:spacing w:before="40" w:after="40"/>
        <w:ind w:left="283"/>
      </w:pPr>
      <w:r>
        <w:rPr>
          <w:rFonts w:ascii="Calibri" w:hAnsi="Calibri"/>
          <w:b/>
          <w:color w:val="4A6B25"/>
          <w:sz w:val="20"/>
        </w:rPr>
        <w:t xml:space="preserve">2. </w:t>
      </w:r>
      <w:r>
        <w:rPr>
          <w:rFonts w:ascii="Calibri" w:hAnsi="Calibri"/>
          <w:b w:val="0"/>
          <w:color w:val="3A4A28"/>
          <w:sz w:val="20"/>
        </w:rPr>
        <w:t>Pipeline data readouts in 2026-2027 for frexalimab (first-in-class MS therapy), amlitelimab (atopic dermatitis), and fitusiran (hemophilia) represent multi-billion dollar market opportunities that could diversify earnings beyond Dupixent [1]</w:t>
      </w:r>
    </w:p>
    <w:p>
      <w:pPr>
        <w:spacing w:before="40" w:after="40"/>
        <w:ind w:left="283"/>
      </w:pPr>
      <w:r>
        <w:rPr>
          <w:rFonts w:ascii="Calibri" w:hAnsi="Calibri"/>
          <w:b/>
          <w:color w:val="4A6B25"/>
          <w:sz w:val="20"/>
        </w:rPr>
        <w:t xml:space="preserve">3. </w:t>
      </w:r>
      <w:r>
        <w:rPr>
          <w:rFonts w:ascii="Calibri" w:hAnsi="Calibri"/>
          <w:b w:val="0"/>
          <w:color w:val="3A4A28"/>
          <w:sz w:val="20"/>
        </w:rPr>
        <w:t>AI-powered R&amp;D acceleration under Hudson's mandate potentially shortening drug development timelines, with $300M in already-quantified supply chain value suggesting broader productivity gains across the organization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Dupixent patent cliff in 2031 threatens &gt;40% of earnings — biosimilar entrants could compress pricing 50-70%, and the current pipeline must deliver multiple blockbuster successors to avoid a multi-year revenue valley [2]</w:t>
      </w:r>
    </w:p>
    <w:p>
      <w:pPr>
        <w:spacing w:before="40" w:after="40"/>
        <w:ind w:left="283"/>
      </w:pPr>
      <w:r>
        <w:rPr>
          <w:rFonts w:ascii="Calibri" w:hAnsi="Calibri"/>
          <w:b/>
          <w:color w:val="4A6B25"/>
          <w:sz w:val="20"/>
        </w:rPr>
        <w:t xml:space="preserve">2. </w:t>
      </w:r>
      <w:r>
        <w:rPr>
          <w:rFonts w:ascii="Calibri" w:hAnsi="Calibri"/>
          <w:b w:val="0"/>
          <w:color w:val="3A4A28"/>
          <w:sz w:val="20"/>
        </w:rPr>
        <w:t>EUR/USD currency headwinds persistently compress USD-denominated returns for ADR investors, as demonstrated by the gap between 12.3% CER and 5.5% actual FY2025 revenue growth — a risk that is structural and ongoing [1]</w:t>
      </w:r>
    </w:p>
    <w:p>
      <w:pPr>
        <w:spacing w:before="40" w:after="40"/>
        <w:ind w:left="283"/>
      </w:pPr>
      <w:r>
        <w:rPr>
          <w:rFonts w:ascii="Calibri" w:hAnsi="Calibri"/>
          <w:b/>
          <w:color w:val="4A6B25"/>
          <w:sz w:val="20"/>
        </w:rPr>
        <w:t xml:space="preserve">3. </w:t>
      </w:r>
      <w:r>
        <w:rPr>
          <w:rFonts w:ascii="Calibri" w:hAnsi="Calibri"/>
          <w:b w:val="0"/>
          <w:color w:val="3A4A28"/>
          <w:sz w:val="20"/>
        </w:rPr>
        <w:t>Government drug pricing pressure from EU reference pricing, US Inflation Reduction Act, and international negotiations threatens biologic margins across the portfolio, with Dupixent increasingly subject to payer negotiations [5][6]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Sanofi's core business — discovering, manufacturing, and distributing pharmaceutical products — is deeply protected from AI disruption by physical-world manufacturing requirements, multi-year clinical trial processes, and heavy regulatory oversight from the FDA, EMA, and global agencies [1]. AI cannot replace the need to physically produce biologics like Dupixent or conduct Phase 3 clinical trials with real patients. The vaccine business involves physical production and cold-chain distribution that AI structurally cannot displace. AI may accelerate competitor drug discovery timelines, but this is a net neutral-to-positive for an established player with existing pipeline infrastructure, manufacturing scale, and regulatory expertise. AI Opportunity (1/1): Sanofi generates measurable value from AI deployment — $300M in revenue risk avoidance through AI-powered supply chain management [4]. Hudson's mandate to become the 'first pharma company powered by AI at scale' includes embedding AI champions in every major function through the 'AI Fight Club' initiative, with agentic AI deployed across drug discovery, clinical trial optimization, and manufacturing operations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Embryonic Stem Cells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Sanofi FY2025 Annual Results and 2026 Guidance — 12.3% CER Sales Growth, 15% Business EPS Growth, sanofi.com, January 29, 2026</w:t>
      </w:r>
    </w:p>
    <w:p>
      <w:pPr>
        <w:spacing w:before="20" w:after="20"/>
        <w:ind w:left="170"/>
      </w:pPr>
      <w:r>
        <w:rPr>
          <w:rFonts w:ascii="Calibri" w:hAnsi="Calibri"/>
          <w:b/>
          <w:color w:val="4A6B25"/>
          <w:sz w:val="15"/>
        </w:rPr>
        <w:t xml:space="preserve">2. </w:t>
      </w:r>
      <w:r>
        <w:rPr>
          <w:rFonts w:ascii="Calibri" w:hAnsi="Calibri"/>
          <w:b w:val="0"/>
          <w:color w:val="3A4A28"/>
          <w:sz w:val="17"/>
        </w:rPr>
        <w:t>Sanofi Q2 2026 Earnings Release — Revenue +17.8% CER, Dupixent €5.2B (+37.6%), Business EPS €2.09, SEC Form 6-K, July 2026</w:t>
      </w:r>
    </w:p>
    <w:p>
      <w:pPr>
        <w:spacing w:before="20" w:after="20"/>
        <w:ind w:left="170"/>
      </w:pPr>
      <w:r>
        <w:rPr>
          <w:rFonts w:ascii="Calibri" w:hAnsi="Calibri"/>
          <w:b/>
          <w:color w:val="4A6B25"/>
          <w:sz w:val="15"/>
        </w:rPr>
        <w:t xml:space="preserve">3. </w:t>
      </w:r>
      <w:r>
        <w:rPr>
          <w:rFonts w:ascii="Calibri" w:hAnsi="Calibri"/>
          <w:b w:val="0"/>
          <w:color w:val="3A4A28"/>
          <w:sz w:val="17"/>
        </w:rPr>
        <w:t>McKinsey Interview: 'Don't Delegate the AI Revolution' — CEO Paul Hudson on AI-First Pharma Strategy; Glassdoor Employee Reviews, 2025-2026</w:t>
      </w:r>
    </w:p>
    <w:p>
      <w:pPr>
        <w:spacing w:before="20" w:after="20"/>
        <w:ind w:left="170"/>
      </w:pPr>
      <w:r>
        <w:rPr>
          <w:rFonts w:ascii="Calibri" w:hAnsi="Calibri"/>
          <w:b/>
          <w:color w:val="4A6B25"/>
          <w:sz w:val="15"/>
        </w:rPr>
        <w:t xml:space="preserve">4. </w:t>
      </w:r>
      <w:r>
        <w:rPr>
          <w:rFonts w:ascii="Calibri" w:hAnsi="Calibri"/>
          <w:b w:val="0"/>
          <w:color w:val="3A4A28"/>
          <w:sz w:val="17"/>
        </w:rPr>
        <w:t>Semafor: 'How Paul Hudson Runs Sanofi's AI Fight Club' — AI Strategy, $300M Supply Chain Value, semafor.com, September 2025</w:t>
      </w:r>
    </w:p>
    <w:p>
      <w:pPr>
        <w:spacing w:before="20" w:after="20"/>
        <w:ind w:left="170"/>
      </w:pPr>
      <w:r>
        <w:rPr>
          <w:rFonts w:ascii="Calibri" w:hAnsi="Calibri"/>
          <w:b/>
          <w:color w:val="4A6B25"/>
          <w:sz w:val="15"/>
        </w:rPr>
        <w:t xml:space="preserve">5. </w:t>
      </w:r>
      <w:r>
        <w:rPr>
          <w:rFonts w:ascii="Calibri" w:hAnsi="Calibri"/>
          <w:b w:val="0"/>
          <w:color w:val="3A4A28"/>
          <w:sz w:val="17"/>
        </w:rPr>
        <w:t>Sanofi Corporate Website — Purpose, Mission, ESG Index, AIR Sustainability Strategy,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S&amp;P Global ESG Evaluation — Sanofi 87/100 Score, Environment Social Governance Ratings, KnowESG MSCI Rating: A, 2026</w:t>
      </w:r>
    </w:p>
    <w:p>
      <w:pPr>
        <w:spacing w:before="20" w:after="20"/>
        <w:ind w:left="170"/>
      </w:pPr>
      <w:r>
        <w:rPr>
          <w:rFonts w:ascii="Calibri" w:hAnsi="Calibri"/>
          <w:b/>
          <w:color w:val="4A6B25"/>
          <w:sz w:val="15"/>
        </w:rPr>
        <w:t xml:space="preserve">7. </w:t>
      </w:r>
      <w:r>
        <w:rPr>
          <w:rFonts w:ascii="Calibri" w:hAnsi="Calibri"/>
          <w:b w:val="0"/>
          <w:color w:val="3A4A28"/>
          <w:sz w:val="17"/>
        </w:rPr>
        <w:t>StockAnalysis, Yahoo Finance, GuruFocus — SNY Key Statistics: $45.42 Price, Forward P/E 8.90, D/E 27%, ROE 6.58%,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