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SOBO</w:t>
      </w:r>
      <w:r>
        <w:rPr>
          <w:rFonts w:ascii="Calibri" w:hAnsi="Calibri"/>
          <w:b/>
          <w:color w:val="1A2010"/>
          <w:sz w:val="40"/>
        </w:rPr>
        <w:t xml:space="preserve">  South Bow Corporation</w:t>
      </w:r>
    </w:p>
    <w:p>
      <w:pPr>
        <w:spacing w:after="120"/>
      </w:pPr>
      <w:r>
        <w:rPr>
          <w:rFonts w:ascii="Calibri" w:hAnsi="Calibri"/>
          <w:b/>
          <w:color w:val="6E8450"/>
          <w:sz w:val="18"/>
        </w:rPr>
        <w:t>GROWTH SLEEVE · 2026-10-01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NYSE · Canada</w:t>
      </w:r>
    </w:p>
    <w:p>
      <w:pPr>
        <w:spacing w:after="80"/>
      </w:pPr>
      <w:r>
        <w:rPr>
          <w:rFonts w:ascii="Calibri" w:hAnsi="Calibri"/>
          <w:b w:val="0"/>
          <w:color w:val="3A4A28"/>
          <w:sz w:val="20"/>
        </w:rPr>
        <w:t>South Bow Corporation operates as an energy infrastructure company spun off from TC Energy Corporation in October 2024. The company operates through three segments: Keystone Pipeline System (4,900 km crude oil pipeline connecting Alberta to U.S. Midwest and Gulf Coast refining markets), Marketing (crude oil trading, storage, and logistics), and Intra-Alberta &amp; Other (Grand Rapids and White Spruce pipelines). Incorporated in 2023 and headquartered in Calgary, Canada, SOBO reported TTM revenue of approximately $2.0B with Q2 2026 revenue of $546M (up 4.2% YoY) and raised 2026 normalized EBITDA guidance to $1.04B.</w:t>
      </w:r>
    </w:p>
    <w:p>
      <w:r>
        <w:rPr>
          <w:rFonts w:ascii="Calibri" w:hAnsi="Calibri"/>
          <w:b/>
          <w:color w:val="6E8450"/>
          <w:sz w:val="18"/>
        </w:rPr>
        <w:t>https://www.southbow.com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South Bow was spun off from TC Energy in October 2024 to operate the legacy Keystone Pipeline System — the same crude oil pipeline infrastructure that has existed for over a decade [1][2]. No new products, market pivots, or business model transformations. The company exists to operate and maintain existing physical pipeline assets. AI Deployment (0/2): No evidence of AI-powered products or AI-driven operational savings. The company's only AI reference is cybersecurity risk from increased AI sophistication in cyber-attacks [2]. Market Share (1/2): The Keystone Pipeline System is one of North America's major crude oil transportation arteries, with 4,900 km of pipeline connecting Alberta oil sands to U.S. refining markets in the Midwest and Gulf Coast [1]. Strong demand for Gulf Coast shipments was confirmed by CEO Bevin Wirzba. However, SOBO competes with other major pipeline systems (Enbridge Mainline, Dakota Access, TMX) for transportation volumes. Pipeline (0/2): No specific next-generation products or expansion projects with defined timelines and revenue visibility have been announced beyond general corridor growth opportunities [2]. R&amp;D Intensity (0/1): Midstream pipeline operators have minimal R&amp;D spending relative to revenue, well below industry averages for technology or manufacturing sectors.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South Bow's purpose centers on safely and reliably transporting crude oil — a functional description of its pipeline operations that is interchangeable with any midstream operator [2]. The company does not articulate a vision of a better future or a deeper purpose beyond operational excellence in crude oil transportation. Community Impact (0/2): No specific charitable giving programs, community investment dollar amounts, or foundation activities were identified. The company references pipeline safety and integrity management as operational priorities, but these are business necessities rather than community impact [2][3]. Employee Retention (0/2): As a newly spun-off company (October 2024), limited standalone employee data exists. Glassdoor shows early reviews mentioning inclusive culture, but the sample is too small for meaningful assessment [2]. Insider Buying (0/2): No evidence of meaningful net insider buying by CEO Bevin Wirzba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sleeve; 5yr CAGR and PEG excluded due to insufficient company history). ROE of 17.4% exceeds the 15% target (score 1.0, 2x weight), and profit margin of 23.0% exceeds the 20% target (score 1.0) [4]. Forward P/E of 16.97 is well below the 20 target (score 1.0). Revenue grew 4.2% YoY (score 0.81), reflecting the stable, contracted nature of pipeline revenues. D/E of 216% reflects typical midstream leverage but scores poorly versus the 70% target (score 0.37). Free cash flow of $338M supports the $2.00/share annual dividend (6.0% yield) with a 91% payout ratio. SOBO raised 2026 normalized EBITDA guidance to $1.04B after a strong H1 [1]. Daily dollar volume of ~$22.5M provides adequate liquidity. Note: Revenue Growth 5yr CAGR and Forward PEG are excluded from scoring due to insufficient history as a standalone company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South Bow is a newly independent pipeline operator playing a predominantly finite game — optimizing contracted crude oil transportation volumes and managing quarterly dividend coverage. The Keystone Pipeline System has inherent longevity (multi-decade asset life), but the company's purpose begins and ends with crude oil transportation, with no articulated vision for a post-fossil-fuel future. As a 2024 spinoff, SOBO has not yet been tested through crisis or demonstrated the kind of purpose-driven leadership that defines infinite 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South Bow's purpose is limited to safely and reliably transporting crude oil — a necessary function but one that does not articulate a vision of a better future or invite others to contribute to something larger [2]. The company exists to operate legacy pipeline infrastructure, and its strategic communications focus on dividend coverage, EBITDA guidance, and contracted volumes rather than any overarching mission. The energy transition poses a long-term existential question that SOBO has not addressed with a compelling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South Bow emphasizes pipeline safety culture and integrity management as core organizational values, with a 'culture of continuous learning and improvement' and investment in technology for proactive integrity threat response [2]. CEO Bevin Wirzba has engineering credentials and extensive midstream experience from TC Energy. Early Glassdoor reviews mention inclusive culture. However, as a 2024 spinoff still establishing its standalone identity, the company has limited track record of building trust independent of its TC Energy heritage.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South Bow's competitive framing centers on the Keystone Pipeline System's strategic position connecting Alberta supply to U.S. demand — a 'win by geography' approach rather than learning from rivals [1]. No evidence of management acknowledging competitors' strengths (Enbridge, TMX) as motivation for self-improvement or referencing competitive dynamics as a positive force.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South Bow's entire business model is fixed crude oil pipeline infrastructure — the most physically rigid business imaginable [1]. The company cannot easily pivot its 4,900 km pipeline network to transport alternative products or serve new markets. The spinoff from TC Energy was itself a strategic rigidity — separating the legacy crude oil business from TC Energy's transition toward natural gas and renewables, effectively locking SOBO into a single-commodity future.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South Bow raised 2026 EBITDA guidance to $1.04B and maintained its $2.00/share annual dividend through the Keystone pipeline restart after an oil release incident, demonstrating operational resilience and commitment to shareholder returns [1][3]. CEO Wirzba's disciplined capital allocation approach and growth investment within existing corridors show some long-term orientation. However, as a newly independent company with a 91% payout ratio, SOBO is prioritizing current income over long-term reinvestment.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South Bow at 16.97x forward earnings with a 6.04% dividend yield offers high-current-income exposure to essential North American crude oil infrastructure, backed by the 4,900 km Keystone Pipeline System connecting Alberta oil sands to U.S. Midwest and Gulf Coast refining markets [1][4]. The company raised 2026 normalized EBITDA guidance to $1.04B after a strong first half, with Q2 revenue up 4.2% to $546M and EPS growing 39% YoY. ROE of 17.4% and profit margin of 23% demonstrate strong profitability for a midstream operator. The pipeline's strategic geography and long-term contracted volumes provide revenue visibility, and increasing AI-driven electricity demand indirectly supports crude oil transportation needs. Free cash flow of $338M funds the $2.00/share dividend with operating cash flow of $839M providing substantial coverage [4].</w:t>
      </w:r>
    </w:p>
    <w:p>
      <w:pPr>
        <w:spacing w:after="120"/>
      </w:pPr>
      <w:r>
        <w:rPr>
          <w:rFonts w:ascii="Calibri" w:hAnsi="Calibri"/>
          <w:b w:val="0"/>
          <w:color w:val="3A4A28"/>
          <w:sz w:val="20"/>
        </w:rPr>
        <w:t>The bear case centers on structural commodity risk and financial leverage. D/E of 216% reflects the capital-intensive pipeline business model and creates vulnerability to rising interest rates and credit tightening [4]. The 91% payout ratio leaves minimal margin of safety for dividend coverage if operating results weaken — crude oil volume disruptions, tariff-related demand shifts, or extended pipeline shutdowns from integrity incidents could force a dividend cut. South Bow successfully restarted the Keystone Pipeline after an oil release incident, but future spills carry regulatory, environmental, and reputational risk that could impair operations [3]. The energy transition poses a multi-decade existential threat — as global crude oil demand potentially peaks, SOBO's fixed pipeline infrastructure could become a stranded asset with limited repurposing options. Trade tariffs between Canada and the U.S. create additional uncertainty for cross-border crude oil flows, with CEO Wirzba acknowledging tariffs 'could create challenges in the marketing segment' [3]. Short company history (October 2024 spinoff) provides limited track record for evaluating management execution as a standalone entity.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2026 normalized EBITDA guidance to $1.04B after strong H1 2026 performance, with Q2 EPS up 39% YoY to $0.50 and revenue growing 4.2% to $546M [1]</w:t>
      </w:r>
    </w:p>
    <w:p>
      <w:pPr>
        <w:spacing w:before="40" w:after="40"/>
        <w:ind w:left="283"/>
      </w:pPr>
      <w:r>
        <w:rPr>
          <w:rFonts w:ascii="Calibri" w:hAnsi="Calibri"/>
          <w:b/>
          <w:color w:val="4A6B25"/>
          <w:sz w:val="20"/>
        </w:rPr>
        <w:t xml:space="preserve">2. </w:t>
      </w:r>
      <w:r>
        <w:rPr>
          <w:rFonts w:ascii="Calibri" w:hAnsi="Calibri"/>
          <w:b w:val="0"/>
          <w:color w:val="3A4A28"/>
          <w:sz w:val="20"/>
        </w:rPr>
        <w:t>Strong demand for Gulf Coast crude oil shipments confirmed by CEO Wirzba, with Keystone's strategic geography connecting Alberta supply to the deepest U.S. refining complex [1][2]</w:t>
      </w:r>
    </w:p>
    <w:p>
      <w:pPr>
        <w:spacing w:before="40" w:after="40"/>
        <w:ind w:left="283"/>
      </w:pPr>
      <w:r>
        <w:rPr>
          <w:rFonts w:ascii="Calibri" w:hAnsi="Calibri"/>
          <w:b/>
          <w:color w:val="4A6B25"/>
          <w:sz w:val="20"/>
        </w:rPr>
        <w:t xml:space="preserve">3. </w:t>
      </w:r>
      <w:r>
        <w:rPr>
          <w:rFonts w:ascii="Calibri" w:hAnsi="Calibri"/>
          <w:b w:val="0"/>
          <w:color w:val="3A4A28"/>
          <w:sz w:val="20"/>
        </w:rPr>
        <w:t>AI-driven data center buildout increasing U.S. electricity demand, indirectly supporting crude oil demand and Keystone Pipeline utilization rates over the medium term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91% payout ratio on the $2.00/share dividend ($6.04% yield) leaves minimal buffer — any sustained volume disruption, pipeline incident, or maintenance outage could force a dividend cut [4]</w:t>
      </w:r>
    </w:p>
    <w:p>
      <w:pPr>
        <w:spacing w:before="40" w:after="40"/>
        <w:ind w:left="283"/>
      </w:pPr>
      <w:r>
        <w:rPr>
          <w:rFonts w:ascii="Calibri" w:hAnsi="Calibri"/>
          <w:b/>
          <w:color w:val="4A6B25"/>
          <w:sz w:val="20"/>
        </w:rPr>
        <w:t xml:space="preserve">2. </w:t>
      </w:r>
      <w:r>
        <w:rPr>
          <w:rFonts w:ascii="Calibri" w:hAnsi="Calibri"/>
          <w:b w:val="0"/>
          <w:color w:val="3A4A28"/>
          <w:sz w:val="20"/>
        </w:rPr>
        <w:t>D/E of 216% exposes the company to refinancing risk and rising interest costs, with $5.76B total debt against $6.9B market cap [4]</w:t>
      </w:r>
    </w:p>
    <w:p>
      <w:pPr>
        <w:spacing w:before="40" w:after="40"/>
        <w:ind w:left="283"/>
      </w:pPr>
      <w:r>
        <w:rPr>
          <w:rFonts w:ascii="Calibri" w:hAnsi="Calibri"/>
          <w:b/>
          <w:color w:val="4A6B25"/>
          <w:sz w:val="20"/>
        </w:rPr>
        <w:t xml:space="preserve">3. </w:t>
      </w:r>
      <w:r>
        <w:rPr>
          <w:rFonts w:ascii="Calibri" w:hAnsi="Calibri"/>
          <w:b w:val="0"/>
          <w:color w:val="3A4A28"/>
          <w:sz w:val="20"/>
        </w:rPr>
        <w:t>Keystone Pipeline oil release incident demonstrates ongoing environmental and regulatory risk inherent in crude oil transportation — future spills could trigger extended shutdowns, fines, and reputational damage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South Bow operates 4,900 km of physical crude oil pipeline infrastructure connecting Alberta to U.S. refining markets — AI cannot transport crude oil, replace pipelines, or substitute for physical energy infrastructure [1][2]. The business is deeply regulated by both Canadian and U.S. pipeline safety authorities, with multi-decade operating permits and long-term contracted volumes creating structural immunity to AI disruption. Furthermore, the accelerating buildout of AI data centers is increasing electricity demand, which indirectly supports fossil fuel demand and crude oil transportation volumes. Pipeline operations involve physical-world maintenance, integrity management, and safety protocols that require specialized on-the-ground expertise. AI Opportunity (0/1): SOBO does not generate revenue from AI products or services. AI is mentioned only in the context of cybersecurity risk rather than commercial opportunity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South Bow Q1/Q2 2026 Earnings Results — GlobeNewsWire, Yahoo Finance, StockTitan, May-August 2026</w:t>
      </w:r>
    </w:p>
    <w:p>
      <w:pPr>
        <w:spacing w:before="20" w:after="20"/>
        <w:ind w:left="170"/>
      </w:pPr>
      <w:r>
        <w:rPr>
          <w:rFonts w:ascii="Calibri" w:hAnsi="Calibri"/>
          <w:b/>
          <w:color w:val="4A6B25"/>
          <w:sz w:val="15"/>
        </w:rPr>
        <w:t xml:space="preserve">2. </w:t>
      </w:r>
      <w:r>
        <w:rPr>
          <w:rFonts w:ascii="Calibri" w:hAnsi="Calibri"/>
          <w:b w:val="0"/>
          <w:color w:val="3A4A28"/>
          <w:sz w:val="17"/>
        </w:rPr>
        <w:t>South Bow Corporation Leadership, Pipeline Operations, and Strategy — Company Website, SimplyWallSt, Kalkine, 2024-2026</w:t>
      </w:r>
    </w:p>
    <w:p>
      <w:pPr>
        <w:spacing w:before="20" w:after="20"/>
        <w:ind w:left="170"/>
      </w:pPr>
      <w:r>
        <w:rPr>
          <w:rFonts w:ascii="Calibri" w:hAnsi="Calibri"/>
          <w:b/>
          <w:color w:val="4A6B25"/>
          <w:sz w:val="15"/>
        </w:rPr>
        <w:t xml:space="preserve">3. </w:t>
      </w:r>
      <w:r>
        <w:rPr>
          <w:rFonts w:ascii="Calibri" w:hAnsi="Calibri"/>
          <w:b w:val="0"/>
          <w:color w:val="3A4A28"/>
          <w:sz w:val="17"/>
        </w:rPr>
        <w:t>South Bow ESG, Environmental Incidents, and Tariff Risk — CBC News, TipRanks, Kalkine, 2025-2026</w:t>
      </w:r>
    </w:p>
    <w:p>
      <w:pPr>
        <w:spacing w:before="20" w:after="20"/>
        <w:ind w:left="170"/>
      </w:pPr>
      <w:r>
        <w:rPr>
          <w:rFonts w:ascii="Calibri" w:hAnsi="Calibri"/>
          <w:b/>
          <w:color w:val="4A6B25"/>
          <w:sz w:val="15"/>
        </w:rPr>
        <w:t xml:space="preserve">4. </w:t>
      </w:r>
      <w:r>
        <w:rPr>
          <w:rFonts w:ascii="Calibri" w:hAnsi="Calibri"/>
          <w:b w:val="0"/>
          <w:color w:val="3A4A28"/>
          <w:sz w:val="17"/>
        </w:rPr>
        <w:t>South Bow Financial Data — Yahoo Finance, StockAnalysis.com, WallStreetZen,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