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SOLS</w:t>
      </w:r>
      <w:r>
        <w:rPr>
          <w:rFonts w:ascii="Calibri" w:hAnsi="Calibri"/>
          <w:b/>
          <w:color w:val="1A2010"/>
          <w:sz w:val="40"/>
        </w:rPr>
        <w:t xml:space="preserve">  Solstice Advanced Materials, Inc.</w:t>
      </w:r>
    </w:p>
    <w:p>
      <w:pPr>
        <w:spacing w:after="120"/>
      </w:pPr>
      <w:r>
        <w:rPr>
          <w:rFonts w:ascii="Calibri" w:hAnsi="Calibri"/>
          <w:b/>
          <w:color w:val="6E8450"/>
          <w:sz w:val="18"/>
        </w:rPr>
        <w:t>GROWTH SLEEVE · 2026-09-01 · Inspire: 24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Solstice Advanced Materials is a global specialty materials company spun off from Honeywell in October 2025. The company provides refrigerants, semiconductor electronic materials, nuclear fuel conversion services (UF6), protective fibers (Spectra), and healthcare packaging across electronics, nuclear energy, defense, industrial, and healthcare end markets. Headquartered in Morris Plains, NJ, with approximately 4,100 employees. Q2 2026 revenue was $1.15B (up 11% YoY) with full-year guidance of $4.13-4.19B and adjusted EPS of $2.75-$2.95.</w:t>
      </w:r>
    </w:p>
    <w:p>
      <w:r>
        <w:rPr>
          <w:rFonts w:ascii="Calibri" w:hAnsi="Calibri"/>
          <w:b/>
          <w:color w:val="6E8450"/>
          <w:sz w:val="18"/>
        </w:rPr>
        <w:t>4,100 Employees · https://www.solstice.com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Solstice inherited Honeywell's strongest specialty materials businesses and hit the ground running with 10-11% organic revenue growth across Nuclear, Electronic Materials, Refrigerants, and Healthcare Packaging in both Q1 and Q2 2026 [1][2]. The $200M Spokane expansion specifically targets AI semiconductor materials production, positioning the company at the intersection of AI infrastructure and nuclear energy secular growth themes [6]. The attempted $14.5B Element Solutions acquisition, though mutually terminated in August 2026, demonstrated bold strategic ambition to build a scaled advanced materials platform [5][7]. AI Deployment (1/2): Solstice integrates real-time IoT monitoring and AI-driven predictive maintenance across production lines to ensure atomic-level specifications in semiconductor materials manufacturing [6]. These are operational efficiency tools rather than AI products sold externally. Market Share (2/2): Dominant positions in specialty niches — leading global provider of UF6 nuclear conversion services, top-tier position in specialty fluorogases and HFO refrigerants (Solstice brand), and the sole Western producer of Spectra ultra-high-molecular-weight polyethylene fiber for ballistic protection [3]. Pipeline (1/2): Next-generation refrigerants under development to replace HFOs as patents expire; $200M Spokane capacity expansion for electronic materials; continuing to evaluate strategic M&amp;A after Element Solutions termination [7]. R&amp;D Intensity (1/1): Inherited Honeywell's deep materials science R&amp;D infrastructure and IP portfolio spanning fluorochemistry, nuclear processing, and polymer science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Solstice positions itself as enabling critical technologies — from nuclear energy to semiconductor manufacturing to ballistic protection — a mission grounded in real societal impact but articulated generically as an 'advanced materials platform' rather than a distinctive cause [3]. Community Impact (1/2): Environmental benefits include low-global-warming-potential (GWP) Solstice refrigerants replacing ozone-depleting substances, nuclear fuel processing supporting clean energy transition, and healthcare packaging protecting medical devices [3][6]. However, as a newly independent company less than one year old, community investment programs are still being established. Employee Retention (1/2): Glassdoor reviews show mixed culture — 4.0/5 work-life balance and 3.9/5 culture ratings suggest adequate but not exceptional employee experience [8]. Some reviews cite a collaborative, knowledge-rich environment while others flag concerns about HR responsiveness and management culture inherited from Honeywell. CEO David Sewell brings credible leadership from WestRock and Sherwin-Williams but is still building Solstice's independent culture. Insider Buying (1/2): CEO Sewell and the leadership team accepted equity-heavy compensation at spin-off, aligning interests with shareholders, though no significant open-market insider purchases have been reported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of 21.17 sits near the 20 target (score 0.97), supported by Forward PEG of 1.03 indicating reasonable growth-adjusted valuation (score 0.99, 2x weight) [4]. D/E of 165% reflects the capital structure inherited from Honeywell's spin-off leverage, scoring 0.59 against the 70% target. ROE of 10.74% earns a solid score of 0.72 (2x weight) for a company in its first full year of independent operations [4]. Revenue growth of 11% YoY scores a perfect 1.0, driven by double-digit gains across Nuclear, Electronic Materials, and Refrigerants [1][2]. Net profit margin of 4.72% is the weakest metric (score 0.24), suppressed by spin-off transition costs, higher standalone corporate expenses, and the capital structure's interest burden [1]. Revenue growth 5yr CAGR is not calculable for a company less than one year old as a public entity. Daily dollar volume of approximately $285M provides deep institutional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Solstice Advanced Materials is less than one year old as an independent company, making infinite game assessment preliminary. The company inherited strong long-duration assets — nuclear conversion facilities, specialty chemical plants, and deep IP — that inherently require multi-decade thinking. CEO Sewell's attempted $14.5B Element Solutions acquisition signaled ambition to build a durable materials platform, though its mutual termination in August 2026 raises questions about strategic clarity. The Spokane expansion demonstrates long-horizon investment, but the company must still prove it can sustain Honeywell-era innovation and talent independently.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Solstice's portfolio serves genuinely important societal functions — nuclear fuel processing for clean energy, semiconductor materials enabling the digital economy, Spectra fiber protecting military and law enforcement personnel, and healthcare packaging safeguarding medical devices [3]. CEO Sewell has articulated a vision of building 'an industry-leading advanced materials platform aligned to serving attractive secular growth markets,' which is strategically coherent but stops short of a transformative cause [5]. The company's materials enable transformative outcomes without claiming to be transformative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reveal a mixed picture — technical employees appreciate the knowledge-rich, collaborative work environment and reasonable work-life balance (4.0/5), while others cite concerns about HR responsiveness and legacy Honeywell management practices [8]. CEO Sewell's appointment brought fresh leadership from outside Honeywell, and the company has assembled an experienced executive team including Simon Mawson (Refrigerants) and Jeff Dormo (Electronics), but cultural cohesion for a newly independent 4,100-person workforce remains a work in progress.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Solstice competes against established specialty chemicals leaders — Chemours in fluorochemistry, 3M and DSM in advanced fibers, Entegris and Air Liquide in electronic materials — and demonstrates awareness of competitive positioning through strategic M&amp;A and capacity investments targeting market segments where rivals are expanding [5][6]. The Element Solutions acquisition attempt was explicitly designed to strengthen competitive positioning against larger rivals in electronics materials.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attempted $14.5B Element Solutions acquisition — though ultimately terminated — demonstrated willingness to dramatically reshape the company's portfolio within its first year of independence [5][7]. The $200M Spokane expansion pivots production capacity toward AI-driven semiconductor demand [6]. However, the Element deal's termination and the company's continued reliance on legacy Honeywell business lines suggest that transformative reinvention remains aspirational rather than proven.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Sewell showed decisiveness in pursuing the $14.5B Element Solutions merger within months of Solstice's independence, demonstrating willingness to take bold strategic bets [5]. The $200M Spokane expansion commits significant capital to a secular growth thesis around AI infrastructure [6]. However, the merger's mutual termination and the 15% stock drop on the announcement raise questions about whether the market viewed the move as courageous or premature, and the leadership team has yet to articulate a distinctive independent vision beyond 'scaled advanced materials platform'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Solstice Advanced Materials offers a compelling growth narrative at the intersection of multiple secular tailwinds — AI semiconductor infrastructure, nuclear energy renaissance, and refrigerant transition — at a reasonable forward valuation of 21x earnings with a PEG ratio near 1.0. The company inherited Honeywell's strongest specialty materials franchises with leading market positions in nuclear conversion (UF6), HFO refrigerants, Spectra protective fiber, and electronic materials, delivering 10-11% organic revenue growth in its first two quarters of independence [1][2]. The $200M Spokane expansion directly targets AI hardware demand, while full-year guidance of $4.13-4.19B revenue and $2.75-$2.95 adjusted EPS reflects management confidence in sustained momentum [2]. CEO Sewell's willingness to pursue transformative M&amp;A signals strategic ambition, and the company's specialty positioning provides meaningful pricing power in markets with high barriers to entry.</w:t>
      </w:r>
    </w:p>
    <w:p>
      <w:pPr>
        <w:spacing w:after="120"/>
      </w:pPr>
      <w:r>
        <w:rPr>
          <w:rFonts w:ascii="Calibri" w:hAnsi="Calibri"/>
          <w:b w:val="0"/>
          <w:color w:val="3A4A28"/>
          <w:sz w:val="20"/>
        </w:rPr>
        <w:t>Key risks center on execution as a newly independent company navigating spin-off complexity. The Element Solutions merger termination in August 2026 removed a potential growth catalyst and raised questions about the strategic roadmap [7]. Net profit margin of just 4.72% — depressed by spin-off costs and standalone corporate overhead — must expand materially for the investment case to fully deliver [4]. D/E of 165% inherited from the Honeywell capital structure constrains financial flexibility, and looming HFO refrigerant patent expirations could pressure margins in the Refrigerants segment as generics enter [3]. The trailing PE of 49x on still-depressed first-year earnings creates valuation risk if growth decelerates. The company has no track record of capital allocation discipline as an independent entity, and cultural cohesion across 4,100 employees transitioning from Honeywell remains unproven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$200M Spokane electronic materials expansion, adding capacity aligned to AI semiconductor demand growth</w:t>
      </w:r>
    </w:p>
    <w:p>
      <w:pPr>
        <w:spacing w:before="40" w:after="40"/>
        <w:ind w:left="283"/>
      </w:pPr>
      <w:r>
        <w:rPr>
          <w:rFonts w:ascii="Calibri" w:hAnsi="Calibri"/>
          <w:b/>
          <w:color w:val="4A6B25"/>
          <w:sz w:val="20"/>
        </w:rPr>
        <w:t xml:space="preserve">2. </w:t>
      </w:r>
      <w:r>
        <w:rPr>
          <w:rFonts w:ascii="Calibri" w:hAnsi="Calibri"/>
          <w:b w:val="0"/>
          <w:color w:val="3A4A28"/>
          <w:sz w:val="20"/>
        </w:rPr>
        <w:t>Margin expansion as spin-off transition costs normalize and standalone corporate efficiencies are realized through FY2027</w:t>
      </w:r>
    </w:p>
    <w:p>
      <w:pPr>
        <w:spacing w:before="40" w:after="40"/>
        <w:ind w:left="283"/>
      </w:pPr>
      <w:r>
        <w:rPr>
          <w:rFonts w:ascii="Calibri" w:hAnsi="Calibri"/>
          <w:b/>
          <w:color w:val="4A6B25"/>
          <w:sz w:val="20"/>
        </w:rPr>
        <w:t xml:space="preserve">3. </w:t>
      </w:r>
      <w:r>
        <w:rPr>
          <w:rFonts w:ascii="Calibri" w:hAnsi="Calibri"/>
          <w:b w:val="0"/>
          <w:color w:val="3A4A28"/>
          <w:sz w:val="20"/>
        </w:rPr>
        <w:t>Next-generation refrigerant launches to replace HFO products ahead of patent expirations, maintaining pricing power in specialty fluorochemistry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HFO refrigerant patent expirations could commoditize a key revenue stream if next-gen products are delayed or fail to gain regulatory approval</w:t>
      </w:r>
    </w:p>
    <w:p>
      <w:pPr>
        <w:spacing w:before="40" w:after="40"/>
        <w:ind w:left="283"/>
      </w:pPr>
      <w:r>
        <w:rPr>
          <w:rFonts w:ascii="Calibri" w:hAnsi="Calibri"/>
          <w:b/>
          <w:color w:val="4A6B25"/>
          <w:sz w:val="20"/>
        </w:rPr>
        <w:t xml:space="preserve">2. </w:t>
      </w:r>
      <w:r>
        <w:rPr>
          <w:rFonts w:ascii="Calibri" w:hAnsi="Calibri"/>
          <w:b w:val="0"/>
          <w:color w:val="3A4A28"/>
          <w:sz w:val="20"/>
        </w:rPr>
        <w:t>Elevated D/E of 165% and thin 4.72% net margin leave limited cushion if organic growth decelerates or acquisition strategy requires additional leverage</w:t>
      </w:r>
    </w:p>
    <w:p>
      <w:pPr>
        <w:spacing w:before="40" w:after="40"/>
        <w:ind w:left="283"/>
      </w:pPr>
      <w:r>
        <w:rPr>
          <w:rFonts w:ascii="Calibri" w:hAnsi="Calibri"/>
          <w:b/>
          <w:color w:val="4A6B25"/>
          <w:sz w:val="20"/>
        </w:rPr>
        <w:t xml:space="preserve">3. </w:t>
      </w:r>
      <w:r>
        <w:rPr>
          <w:rFonts w:ascii="Calibri" w:hAnsi="Calibri"/>
          <w:b w:val="0"/>
          <w:color w:val="3A4A28"/>
          <w:sz w:val="20"/>
        </w:rPr>
        <w:t>Newly independent company with unproven capital allocation discipline — Element Solutions merger termination and 15% stock decline signal market skepticism about strategic clarity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Solstice is a direct beneficiary of AI infrastructure buildout rather than a target of AI disruption. The company's electronic materials — specialty gases, advanced chemicals, and precursor materials — are critical inputs for semiconductor manufacturing powering AI data centers [6]. The $200M Spokane expansion explicitly targets AI hardware supply chain demand. Nuclear conversion services face zero AI substitution risk, and Spectra ballistic fibers serve defense applications where physical properties cannot be digitized. Refrigerants for HVAC and data center cooling see increased demand from AI-driven power consumption growth. The only vulnerability is potential AI-driven optimization of supply chains by customers squeezing supplier margins, but Solstice's specialty positioning and limited competitor set provide pricing power [3][5]. AI Opportunity (1/1): AI directly drives demand for Solstice's electronic materials segment, which grew at double digits in Q2 2026 [1]. Data center cooling requirements boost refrigerant demand, and AI-optimized manufacturing via IoT and predictive maintenance improves Solstice's own operational efficiency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Solstice Advanced Materials Q2 2026 Earnings Release, July 2026</w:t>
      </w:r>
    </w:p>
    <w:p>
      <w:pPr>
        <w:spacing w:before="20" w:after="20"/>
        <w:ind w:left="170"/>
      </w:pPr>
      <w:r>
        <w:rPr>
          <w:rFonts w:ascii="Calibri" w:hAnsi="Calibri"/>
          <w:b/>
          <w:color w:val="4A6B25"/>
          <w:sz w:val="15"/>
        </w:rPr>
        <w:t xml:space="preserve">2. </w:t>
      </w:r>
      <w:r>
        <w:rPr>
          <w:rFonts w:ascii="Calibri" w:hAnsi="Calibri"/>
          <w:b w:val="0"/>
          <w:color w:val="3A4A28"/>
          <w:sz w:val="17"/>
        </w:rPr>
        <w:t>Solstice Advanced Materials Q1 2026 Earnings Release, April 2026</w:t>
      </w:r>
    </w:p>
    <w:p>
      <w:pPr>
        <w:spacing w:before="20" w:after="20"/>
        <w:ind w:left="170"/>
      </w:pPr>
      <w:r>
        <w:rPr>
          <w:rFonts w:ascii="Calibri" w:hAnsi="Calibri"/>
          <w:b/>
          <w:color w:val="4A6B25"/>
          <w:sz w:val="15"/>
        </w:rPr>
        <w:t xml:space="preserve">3. </w:t>
      </w:r>
      <w:r>
        <w:rPr>
          <w:rFonts w:ascii="Calibri" w:hAnsi="Calibri"/>
          <w:b w:val="0"/>
          <w:color w:val="3A4A28"/>
          <w:sz w:val="17"/>
        </w:rPr>
        <w:t>Honeywell Spin-Off Completion Press Release — Solstice Advanced Materials Begins Trading on NASDAQ, October 2025</w:t>
      </w:r>
    </w:p>
    <w:p>
      <w:pPr>
        <w:spacing w:before="20" w:after="20"/>
        <w:ind w:left="170"/>
      </w:pPr>
      <w:r>
        <w:rPr>
          <w:rFonts w:ascii="Calibri" w:hAnsi="Calibri"/>
          <w:b/>
          <w:color w:val="4A6B25"/>
          <w:sz w:val="15"/>
        </w:rPr>
        <w:t xml:space="preserve">4. </w:t>
      </w:r>
      <w:r>
        <w:rPr>
          <w:rFonts w:ascii="Calibri" w:hAnsi="Calibri"/>
          <w:b w:val="0"/>
          <w:color w:val="3A4A28"/>
          <w:sz w:val="17"/>
        </w:rPr>
        <w:t>StockAnalysis.com — SOLS key statistics and valuation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Solstice Advanced Materials — Element Solutions Acquisition Announcement, July 2026</w:t>
      </w:r>
    </w:p>
    <w:p>
      <w:pPr>
        <w:spacing w:before="20" w:after="20"/>
        <w:ind w:left="170"/>
      </w:pPr>
      <w:r>
        <w:rPr>
          <w:rFonts w:ascii="Calibri" w:hAnsi="Calibri"/>
          <w:b/>
          <w:color w:val="4A6B25"/>
          <w:sz w:val="15"/>
        </w:rPr>
        <w:t xml:space="preserve">6. </w:t>
      </w:r>
      <w:r>
        <w:rPr>
          <w:rFonts w:ascii="Calibri" w:hAnsi="Calibri"/>
          <w:b w:val="0"/>
          <w:color w:val="3A4A28"/>
          <w:sz w:val="17"/>
        </w:rPr>
        <w:t>Solstice Advanced Materials — $200M Spokane Expansion for AI Hardware Materials, December 2025</w:t>
      </w:r>
    </w:p>
    <w:p>
      <w:pPr>
        <w:spacing w:before="20" w:after="20"/>
        <w:ind w:left="170"/>
      </w:pPr>
      <w:r>
        <w:rPr>
          <w:rFonts w:ascii="Calibri" w:hAnsi="Calibri"/>
          <w:b/>
          <w:color w:val="4A6B25"/>
          <w:sz w:val="15"/>
        </w:rPr>
        <w:t xml:space="preserve">7. </w:t>
      </w:r>
      <w:r>
        <w:rPr>
          <w:rFonts w:ascii="Calibri" w:hAnsi="Calibri"/>
          <w:b w:val="0"/>
          <w:color w:val="3A4A28"/>
          <w:sz w:val="17"/>
        </w:rPr>
        <w:t>Element Solutions / Solstice Mutual Merger Termination Press Release, August 2026</w:t>
      </w:r>
    </w:p>
    <w:p>
      <w:pPr>
        <w:spacing w:before="20" w:after="20"/>
        <w:ind w:left="170"/>
      </w:pPr>
      <w:r>
        <w:rPr>
          <w:rFonts w:ascii="Calibri" w:hAnsi="Calibri"/>
          <w:b/>
          <w:color w:val="4A6B25"/>
          <w:sz w:val="15"/>
        </w:rPr>
        <w:t xml:space="preserve">8. </w:t>
      </w:r>
      <w:r>
        <w:rPr>
          <w:rFonts w:ascii="Calibri" w:hAnsi="Calibri"/>
          <w:b w:val="0"/>
          <w:color w:val="3A4A28"/>
          <w:sz w:val="17"/>
        </w:rPr>
        <w:t>Glassdoor — Solstice Advanced Materials Employee Reviews,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