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SO</w:t>
      </w:r>
      <w:r>
        <w:rPr>
          <w:rFonts w:ascii="Calibri" w:hAnsi="Calibri"/>
          <w:b/>
          <w:color w:val="1A2010"/>
          <w:sz w:val="40"/>
        </w:rPr>
        <w:t xml:space="preserve">  The Southern Company</w:t>
      </w:r>
    </w:p>
    <w:p>
      <w:pPr>
        <w:spacing w:after="120"/>
      </w:pPr>
      <w:r>
        <w:rPr>
          <w:rFonts w:ascii="Calibri" w:hAnsi="Calibri"/>
          <w:b/>
          <w:color w:val="6E8450"/>
          <w:sz w:val="18"/>
        </w:rPr>
        <w:t>DIVIDEND SLEEVE · 2026-08-27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Electric · NYSE · United States</w:t>
      </w:r>
    </w:p>
    <w:p>
      <w:pPr>
        <w:spacing w:after="80"/>
      </w:pPr>
      <w:r>
        <w:rPr>
          <w:rFonts w:ascii="Calibri" w:hAnsi="Calibri"/>
          <w:b w:val="0"/>
          <w:color w:val="3A4A28"/>
          <w:sz w:val="20"/>
        </w:rPr>
        <w:t>Southern Company is the largest electric utility in the United States by customer count, serving 9 million customers through its regulated subsidiaries (Georgia Power, Alabama Power, Mississippi Power) and Southern Company Gas. The company completed Vogtle Units 3 and 4, the first new U.S. nuclear reactors in over 30 years, at a cost exceeding $30B. Under CEO Chris Womack (35+ year company veteran), Southern Company is positioning as a critical infrastructure provider for AI data centers, with 10 GW of power contracts secured. Q2 2026 adj EPS was $1.13 (+22.8% YoY), and management guided full-year 2026 adj EPS at or near the top of the $4.50-$4.60 range, with 8-9% EPS growth projected through 2028.</w:t>
      </w:r>
    </w:p>
    <w:p>
      <w:r>
        <w:rPr>
          <w:rFonts w:ascii="Calibri" w:hAnsi="Calibri"/>
          <w:b/>
          <w:color w:val="6E8450"/>
          <w:sz w:val="18"/>
        </w:rPr>
        <w:t>27,000 Employees · https://www.southerncompany.com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Southern Company completed Vogtle Units 3 and 4 — the first new nuclear reactors built in the U.S. in over 30 years — adding 2+ GW of carbon-free baseload capacity, though the project suffered massive delays and $30B+ in cost overruns [4]. The company has also executed a substantial energy transition from coal-heavy generation toward nuclear, natural gas, and renewables. Securing 10 GW in data center power contracts represents a strategic business pivot toward the AI economy [3]. AI Deployment (1/2): Southern Nuclear received the IAEA Global ISOP Innovation Award for pioneering AI applications in nuclear power operations [3]. The company uses AI and advanced analytics for operational efficiency across its generation and distribution fleet, but these are internal productivity tools rather than customer-facing AI products. Market Share (2/2): Southern Company is the dominant utility in the Southeast U.S. and the largest electric utility in the nation by customer count, serving 9 million customers across a service territory with strong demographic growth and favorable regulatory environments [1]. Product Pipeline (1/2): The 10 GW data center power pipeline, continued renewable energy buildout, interest in small modular reactors (SMRs), and potential nuclear fleet expansion provide meaningful forward visibility [3]. However, the capital intensity and regulatory timeline of these projects limit near-term revenue impact. R&amp;D Intensity (0/1): Utility R&amp;D spending is inherently low relative to technology or industrial sectors. Southern Company participates in EPRI research, but R&amp;D as a percentage of revenue is below the broader market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Southern Company's purpose — providing clean, safe, reliable, and affordable energy — is clear and identifies the company's role in society, but it is standard utility language that does not meaningfully differentiate from peers like Duke Energy, NextEra, or Dominion [3]. The addition of 'clean' alongside 'reliable and affordable' reflects genuine intentionality about the energy transition, though the CEO's public advocacy for extending coal plant lifetimes creates tension with the clean energy message [3]. Community Impact (1/2): Southern Company has meaningful community programs through its regulated subsidiaries — Georgia Power's community investment programs, charitable giving, and workforce development initiatives are substantial given the company's footprint in the Southeast U.S. [3]. However, the Vogtle cost overruns resulted in a $5.46/month rate increase for residential customers, creating community burden rather than benefit [4]. Employee Retention (1/2): The utility sector generally enjoys stable, long-tenured workforces. Chris Womack's 35+ year tenure at Southern Company and the company's deep bench of internal promotions (Pete Sena at Southern Nuclear) suggest a retention-oriented culture, though no specific turnover or tenure data was found to confirm this. Insider Buying (0/2): Net insider selling of $7.9M over the past 12 months indicates executives are taking profits rather than buying additional shares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Southern Company's strongest metrics are its extraordinary dividend payment history — 78 consecutive years of payments since 1948 and 25 consecutive years of increases approaching Dividend Aristocrat status — which both score 1.0 with combined 3x weighting [5]. Forward P/E of 20.99x nearly meets the 20x target (score 0.98), and ROE of 10.99% provides partial credit (0.73) [5]. The primary drags are the high D/E of 190% — typical for regulated utilities but well above the 70% target, scoring only 0.48 — and the elevated payout ratio of 73.19% (score 0.45) which limits dividend safety margin [5]. Revenue growth is modest at 4.2% YoY and ~4% 5-year CAGR, scoring partial credit (0.81 and 0.60 respectively) [1][2]. The 5-year dividend growth CAGR of ~3.4% is below the 6% target, scoring 0.57 with 2x weight. Daily dollar volume of ~$416M easily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Southern Company has operated continuously for over 120 years (founded 1906), demonstrating remarkable organizational endurance through two World Wars, the Great Depression, energy crises, deregulation, and now the clean energy transition. The Vogtle nuclear completion — despite $30B+ in costs and years of delays — reflects a willingness to invest in multi-decade infrastructure that transcends quarterly earnings optimization [4]. However, CEO Womack's public advocacy for keeping coal plants online for AI data centers directly contradicts the company's stated commitment to clean energy, revealing tension between finite (profit from coal) and infinite (clean energy transition) thinking [3].</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Southern Company's purpose of providing essential energy services has been validated by 120 years of continuous operation — the company has served its communities through every major crisis in American history. The Vogtle nuclear completion, despite ruinous cost overruns, demonstrates commitment to long-term carbon-free energy even when the financial case was deeply underwater [4]. However, the purpose lacks the inspirational quality of a true Just Cause — providing electricity is essential but does not describe a future state that inspires sacrifice. The coal advocacy further dilutes purpose clarity.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Southern Company's stable utility culture generally supports trust — Chris Womack's 35+ year tenure and internal promotion pipeline (Pete Sena at Southern Nuclear) suggest organizational continuity and career development opportunities [3]. The regulated utility model provides employment stability that creates a baseline of psychological safety. However, no specific evidence of exceptional trust, employee empowerment, or cultural practices that create above-average psychological safety was identified.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Southern Company's competitive posture is oriented toward self-improvement and collaboration rather than competitor destruction. The company participates actively in EPRI (Electric Power Research Institute) alongside peer utilities, sharing research and best practices. The regulated utility model inherently reduces competitive rivalry since service territories are exclusive. Management commentary focuses on serving customers and communities rather than 'beating' competitors, and the company has partnered with nuclear peers (Westinghouse, IAEA) rather than competing against them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Southern Company has executed a meaningful energy generation transformation — from a coal-dominated fleet to a diversified portfolio of nuclear (Vogtle), natural gas, solar, and wind [3][4]. The pivot to serving AI data centers (10 GW pipeline) represents strategic adaptation to a new demand driver. However, these transitions have been incremental rather than transformative, and CEO Womack's insistence on keeping coal online suggests the company has not fully committed to the pivot. The test of true existential flexibility would be voluntarily retiring profitable coal assets ahead of regulatory deadlines.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Vogtle nuclear completion is the defining courageous decision — Southern Company persisted through $30B+ in cost overruns, massive delays, contractor bankruptcy (Westinghouse), and intense shareholder criticism to deliver the first new nuclear reactors in the U.S. in over 30 years [4]. This is genuine long-term investment over short-term earnings optimization. However, the courage is partially undermined by the coal advocacy — choosing to keep coal plants running for near-term profit rather than accelerating the clean energy transition suggests a limit to leadership's willingness to sacrifice short-term returns for long-term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Southern Company at ~20x forward earnings offers a defensive, income-generating position with a powerful AI tailwind. The 10 GW data center power pipeline transforms the company from a slow-growth utility into an infrastructure beneficiary of the AI buildout, with load growth in the Southeast U.S. accelerating faster than at any point in decades [3]. Adj EPS guidance of $4.50-$4.60 for 2026 with 8-9% growth through 2028 provides earnings visibility, while the $3.04 annual dividend (3.30% yield, 25 consecutive years of increases) offers reliable income [1][2]. The completed Vogtle nuclear units add 2+ GW of carbon-free baseload capacity with 60-80 year asset lives, and the regulated utility model provides earnings stability regardless of economic cycles. Net debt has improved, and the company is approaching Dividend Aristocrat status.</w:t>
      </w:r>
    </w:p>
    <w:p>
      <w:pPr>
        <w:spacing w:after="120"/>
      </w:pPr>
      <w:r>
        <w:rPr>
          <w:rFonts w:ascii="Calibri" w:hAnsi="Calibri"/>
          <w:b w:val="0"/>
          <w:color w:val="3A4A28"/>
          <w:sz w:val="20"/>
        </w:rPr>
        <w:t>The bear case centers on the capital-intensive balance sheet, slow dividend growth, and regulatory/ESG risk. D/E of 190% is elevated even by utility standards, reflecting the Vogtle cost overruns that added billions in debt [4][5]. The 73% payout ratio limits dividend safety, and 3.4% dividend growth barely outpaces inflation — Southern Company will never be a dividend growth compounder. Forward P/E of 20.99x is above the utility sector average, pricing in the AI data center thesis with limited margin of safety if load growth disappoints. CEO Womack's public advocacy for extending coal plant lifetimes creates ESG and regulatory risk — environmental groups and state regulators may push back, and the stance contradicts clean energy commitments [3]. The Inspire Impact Score of -49 (MISALIGNED) limits the investor base for faith-focused allocators. Rate case outcomes in Georgia and Alabama remain a perennial risk for regulated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load growth accelerating in the Southeast U.S., with Southern Company's 10 GW pipeline translating to multi-billion dollar rate base additions that drive regulated earnings growth through 2030+ [3]</w:t>
      </w:r>
    </w:p>
    <w:p>
      <w:pPr>
        <w:spacing w:before="40" w:after="40"/>
        <w:ind w:left="283"/>
      </w:pPr>
      <w:r>
        <w:rPr>
          <w:rFonts w:ascii="Calibri" w:hAnsi="Calibri"/>
          <w:b/>
          <w:color w:val="4A6B25"/>
          <w:sz w:val="20"/>
        </w:rPr>
        <w:t xml:space="preserve">2. </w:t>
      </w:r>
      <w:r>
        <w:rPr>
          <w:rFonts w:ascii="Calibri" w:hAnsi="Calibri"/>
          <w:b w:val="0"/>
          <w:color w:val="3A4A28"/>
          <w:sz w:val="20"/>
        </w:rPr>
        <w:t>Full-year 2026 adj EPS guidance at or near the top of $4.50-$4.60, with 8-9% EPS growth through 2028, supported by Vogtle's full contribution and constructive regulatory outcomes [1][2]</w:t>
      </w:r>
    </w:p>
    <w:p>
      <w:pPr>
        <w:spacing w:before="40" w:after="40"/>
        <w:ind w:left="283"/>
      </w:pPr>
      <w:r>
        <w:rPr>
          <w:rFonts w:ascii="Calibri" w:hAnsi="Calibri"/>
          <w:b/>
          <w:color w:val="4A6B25"/>
          <w:sz w:val="20"/>
        </w:rPr>
        <w:t xml:space="preserve">3. </w:t>
      </w:r>
      <w:r>
        <w:rPr>
          <w:rFonts w:ascii="Calibri" w:hAnsi="Calibri"/>
          <w:b w:val="0"/>
          <w:color w:val="3A4A28"/>
          <w:sz w:val="20"/>
        </w:rPr>
        <w:t>Approaching Dividend Aristocrat status (25 consecutive years of increases) could broaden the institutional investor base and support premium valuation among income-oriented strategies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Elevated D/E of 190% and 73% payout ratio create financial fragility — any unexpected capital expenditures, adverse rate case outcomes, or earnings shortfall could pressure the dividend growth streak [5]</w:t>
      </w:r>
    </w:p>
    <w:p>
      <w:pPr>
        <w:spacing w:before="40" w:after="40"/>
        <w:ind w:left="283"/>
      </w:pPr>
      <w:r>
        <w:rPr>
          <w:rFonts w:ascii="Calibri" w:hAnsi="Calibri"/>
          <w:b/>
          <w:color w:val="4A6B25"/>
          <w:sz w:val="20"/>
        </w:rPr>
        <w:t xml:space="preserve">2. </w:t>
      </w:r>
      <w:r>
        <w:rPr>
          <w:rFonts w:ascii="Calibri" w:hAnsi="Calibri"/>
          <w:b w:val="0"/>
          <w:color w:val="3A4A28"/>
          <w:sz w:val="20"/>
        </w:rPr>
        <w:t>Coal plant advocacy creates regulatory and reputational risk as environmental regulators, ESG-focused investors, and climate litigation increasingly target utilities maintaining fossil fuel generation [3]</w:t>
      </w:r>
    </w:p>
    <w:p>
      <w:pPr>
        <w:spacing w:before="40" w:after="40"/>
        <w:ind w:left="283"/>
      </w:pPr>
      <w:r>
        <w:rPr>
          <w:rFonts w:ascii="Calibri" w:hAnsi="Calibri"/>
          <w:b/>
          <w:color w:val="4A6B25"/>
          <w:sz w:val="20"/>
        </w:rPr>
        <w:t xml:space="preserve">3. </w:t>
      </w:r>
      <w:r>
        <w:rPr>
          <w:rFonts w:ascii="Calibri" w:hAnsi="Calibri"/>
          <w:b w:val="0"/>
          <w:color w:val="3A4A28"/>
          <w:sz w:val="20"/>
        </w:rPr>
        <w:t>Forward P/E of 20.99x is above utility sector averages, pricing in AI data center load growth that is subject to permitting delays, interconnection queue backlogs, and potential demand shortfalls if AI infrastructure buildout slows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Southern Company is structurally immune to AI disruption. The company operates physical generation, transmission, and distribution infrastructure that AI cannot replace — electrons must be generated by turbines, reactors, or solar panels and delivered through copper and steel [3]. AI adoption is a direct demand catalyst: data centers require enormous baseload power, and Southern Company has secured 10 GW of data center power contracts in its Southeast U.S. service territory, where land is available, electricity is relatively affordable, and regulatory environments are accommodating [3]. CEO Womack has explicitly positioned the company to serve the AI economy, stating coal plants must stay online to meet surging AI-driven electricity demand [3]. The regulated utility model provides additional insulation — rate-base returns are set by regulators regardless of technology disruption in other sectors. AI Opportunity (1/1): Southern Company generates quantifiable revenue from powering AI infrastructure through its 10 GW data center pipeline. While not 'AI revenue' in the technology sense, the company directly monetizes AI-driven electricity demand growth. Southern Nuclear's IAEA-award-winning AI deployment in nuclear operations also demonstrates internal AI value creation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Southern Company Q2 2026 Earnings — Adj EPS $1.13 (+22.8% YoY), Operating Revenues $6.98B, Full-Year Guidance $4.50-$4.60, July 2026</w:t>
      </w:r>
    </w:p>
    <w:p>
      <w:pPr>
        <w:spacing w:before="20" w:after="20"/>
        <w:ind w:left="170"/>
      </w:pPr>
      <w:r>
        <w:rPr>
          <w:rFonts w:ascii="Calibri" w:hAnsi="Calibri"/>
          <w:b/>
          <w:color w:val="4A6B25"/>
          <w:sz w:val="15"/>
        </w:rPr>
        <w:t xml:space="preserve">2. </w:t>
      </w:r>
      <w:r>
        <w:rPr>
          <w:rFonts w:ascii="Calibri" w:hAnsi="Calibri"/>
          <w:b w:val="0"/>
          <w:color w:val="3A4A28"/>
          <w:sz w:val="17"/>
        </w:rPr>
        <w:t>Southern Company Q1 2026 Earnings — Operating Revenues $8.4B (+8.0%), Adj EPS $1.32, 8-9% EPS Growth Guidance Through 2028, April 2026</w:t>
      </w:r>
    </w:p>
    <w:p>
      <w:pPr>
        <w:spacing w:before="20" w:after="20"/>
        <w:ind w:left="170"/>
      </w:pPr>
      <w:r>
        <w:rPr>
          <w:rFonts w:ascii="Calibri" w:hAnsi="Calibri"/>
          <w:b/>
          <w:color w:val="4A6B25"/>
          <w:sz w:val="15"/>
        </w:rPr>
        <w:t xml:space="preserve">3. </w:t>
      </w:r>
      <w:r>
        <w:rPr>
          <w:rFonts w:ascii="Calibri" w:hAnsi="Calibri"/>
          <w:b w:val="0"/>
          <w:color w:val="3A4A28"/>
          <w:sz w:val="17"/>
        </w:rPr>
        <w:t>Southern Company Leadership &amp; Strategy — CEO Chris Womack, 10 GW Data Center Pipeline, Coal Advocacy, IAEA Nuclear AI Award — DataCenterDynamics, AI Magazine, 2026</w:t>
      </w:r>
    </w:p>
    <w:p>
      <w:pPr>
        <w:spacing w:before="20" w:after="20"/>
        <w:ind w:left="170"/>
      </w:pPr>
      <w:r>
        <w:rPr>
          <w:rFonts w:ascii="Calibri" w:hAnsi="Calibri"/>
          <w:b/>
          <w:color w:val="4A6B25"/>
          <w:sz w:val="15"/>
        </w:rPr>
        <w:t xml:space="preserve">4. </w:t>
      </w:r>
      <w:r>
        <w:rPr>
          <w:rFonts w:ascii="Calibri" w:hAnsi="Calibri"/>
          <w:b w:val="0"/>
          <w:color w:val="3A4A28"/>
          <w:sz w:val="17"/>
        </w:rPr>
        <w:t>Vogtle Nuclear Units 3 &amp; 4 — $30B+ Cost, First New U.S. Reactors in 30+ Years, 2+ GW Carbon-Free Capacity, Rate Impact — IEEFA, Utility Dive, E&amp;E News</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GuruFocus — SO Key Statistics: Forward P/E 20.99x, D/E 190%, ROE 10.99%, Dividend Yield 3.30%, Payout 73.19%, Stock Price ~$90,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