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SPHL</w:t>
      </w:r>
      <w:r>
        <w:rPr>
          <w:rFonts w:ascii="Calibri" w:hAnsi="Calibri"/>
          <w:b/>
          <w:color w:val="1A2010"/>
          <w:sz w:val="40"/>
        </w:rPr>
        <w:t xml:space="preserve">  Springview Holdings Ltd</w:t>
      </w:r>
    </w:p>
    <w:p>
      <w:pPr>
        <w:spacing w:after="120"/>
      </w:pPr>
      <w:r>
        <w:rPr>
          <w:rFonts w:ascii="Calibri" w:hAnsi="Calibri"/>
          <w:b/>
          <w:color w:val="6E8450"/>
          <w:sz w:val="18"/>
        </w:rPr>
        <w:t>GROWTH SLEEVE · 2026-09-13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NASDAQ · Singapore</w:t>
      </w:r>
    </w:p>
    <w:p>
      <w:pPr>
        <w:spacing w:after="80"/>
      </w:pPr>
      <w:r>
        <w:rPr>
          <w:rFonts w:ascii="Calibri" w:hAnsi="Calibri"/>
          <w:b w:val="0"/>
          <w:color w:val="3A4A28"/>
          <w:sz w:val="20"/>
        </w:rPr>
        <w:t>Springview Holdings Ltd, through its wholly owned subsidiary Springview Enterprises Pte. Ltd., designs and constructs residential and commercial buildings in Singapore, offering design, construction, furniture customization, and project management services. Founded in 2002 and led by CEO Zhuo Wang, the company listed on NASDAQ in October 2024 and remains a Nasdaq 'controlled company' majority-owned by Avanta (BVI) Limited. The company achieved bizSAFE Level 4 certification and upgraded to GB1 contractor certification in November 2024.</w:t>
      </w:r>
    </w:p>
    <w:p>
      <w:r>
        <w:rPr>
          <w:rFonts w:ascii="Calibri" w:hAnsi="Calibri"/>
          <w:b/>
          <w:color w:val="6E8450"/>
          <w:sz w:val="18"/>
        </w:rPr>
        <w:t>80 Employees · https://ir.springviewggl.com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Springview remains a core general-contracting business with only modest extensions — an exclusive Singapore distribution agreement for building materials (January 2026) and a patent license for drainage-connection technology — rather than a transformation, and TTM revenue of $5.96M continues a declining trajectory from FY2023's SGD 13.35M [1][2]. AI Deployment (0/2): No evidence of AI-powered products or operations. While 98% of Singapore construction companies consider AI important to business growth, no specific AI adoption by Springview was identified [3]. Market Share (1/2): The company won a notable heritage-redevelopment contract and achieved GB1 certification upgrade (November 2024), but this represents a single project win in a fragmented local construction market rather than category leadership [1]. Product Pipeline (1/2): MOU with China's Jiangsu GSO New Energy Technology for rooftop solar integration and the building-materials distribution agreement provide some near-term visibility, though both are early-stage and unproven [2]. R&amp;D Intensity (0/1): No evidence of material R&amp;D spend, typical for a small regional contractor.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Zhuo Wang has emphasized 'unwavering commitment to the highest standards of workplace safety and health' and preserving Singapore's architectural heritage, but no distinctive company-wide mission or purpose statement was found — the positioning reads as standard design-and-build marketing [1][3]. Community Impact (0/2): No evidence of charitable giving or community investment programs. Employee Retention (0/2): No Glassdoor or employee-sentiment data is available for this 80-employee micro-cap. Insider Buying (0/2): No insider buying data found. The company remains a 'controlled company' with Avanta (BVI) Limited holding 60.87%/100% of Class A/B shares, and no open-market insider purchases were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Average daily volume of ~7,920 shares × $8.87 stock price = ~$70,250 daily dollar volume, far below the $1,000,000 IOWN liquidity floor [4]. Infrastructure score is set to 0 regardless of other metrics. The stock is too illiquid for IOWN to trade. For reference, underlying metrics are also weak: ROE of -46.44% and profit margin of -23.56% both score zero. TTM revenue of $5.96M represents continued decline from FY2024's $8.81M (-34% YoY) and FY2023's SGD 13.35M. D/E of ~15% is the sole positive metric (near-zero debt). Market cap of $32.86M implies a ~5.5x revenue multiple on a loss-making micro-cap with declining revenue — significantly overvalued.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Springview is a small, recently-IPO'd Singapore contractor with a declining revenue base, no articulated Just Cause, no community investment, and no evidence of courageous long-term capital decisions. Recent moves into solar and materials distribution show some adjacent-market flexibility, but there is no evidence the company is built to endure beyond routine project-to-project execution in Singapore's fragmented construction market.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Zhuo Wang's safety-and-heritage framing is the only evidence of purpose beyond standard commercial construction, and it reads as project-specific marketing rather than a company-wide, resilient cause that shapes strategic decisions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employee-sentiment data (Glassdoor or equivalent) is available for this micro-cap. The bizSAFE Level 4 certification suggests some organizational commitment to employee safety. Absent evidence of instability or red flags, scored as an adequately stable, closely-held small business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Springview framing competitors in Singapore's fragmented construction market as sources of self-improvement. The company's competitive language focuses on certifications and contract wins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January 2026 MOU with Jiangsu GSO New Energy Technology for rooftop solar integration and the exclusive building-materials distribution agreement represent incremental adjacent-market diversification beyond core general contracting, though neither has generated material revenue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near-term results for long-term capability. TTM revenue of $5.96M continues a multi-year decline from FY2023's SGD 13.35M, with sustained net losses indicating the company is managing for survival rather than making costly, principled long-term bets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Springview Holdings is a Singapore-based residential and commercial contractor that listed on NASDAQ in October 2024. The core construction business is structurally insulated from direct AI disruption, and the company has taken steps to improve its competitive position through GB1 certification upgrade and bizSAFE Level 4 certification [1]. Early-stage diversification into rooftop solar (MOU with Jiangsu GSO New Energy Technology) and building materials distribution provides potential growth avenues beyond core contracting [2]. The $32.86M market cap with $2.35M in cash and minimal debt ($756K) means the company has a clean balance sheet and net cash position of $1.59M.</w:t>
      </w:r>
    </w:p>
    <w:p>
      <w:pPr>
        <w:spacing w:after="120"/>
      </w:pPr>
      <w:r>
        <w:rPr>
          <w:rFonts w:ascii="Calibri" w:hAnsi="Calibri"/>
          <w:b w:val="0"/>
          <w:color w:val="3A4A28"/>
          <w:sz w:val="20"/>
        </w:rPr>
        <w:t>The bear case is overwhelming. Average daily trading volume has collapsed to ~7,920 shares, producing daily dollar volume of only ~$70,250 — far below the IOWN $1M liquidity floor, making the position effectively untradeable [4]. Revenue has declined from SGD 13.35M (FY2023) to $5.96M TTM, a multi-year contraction with no evidence of stabilization. ROE of -46.44% and profit margin of -23.56% reflect a loss-making business with deteriorating fundamentals. The $32.86M market cap implies a ~5.5x revenue multiple on a declining, unprofitable micro-cap — severely overvalued. As a Cayman Islands-incorporated 'controlled company' with Avanta (BVI) Limited holding 60.87%/100% of Class A/B shares, minority shareholders have effectively no governance influence [4]. No Inspire data is available (score 0, MIXED). No analyst coverage, no institutional interest, and no path to IOWN investability at current volume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the Jiangsu GSO rooftop-solar MOU and building-materials distribution agreement into recognized revenue, which could reverse the multi-year revenue decline [2]</w:t>
      </w:r>
    </w:p>
    <w:p>
      <w:pPr>
        <w:spacing w:before="40" w:after="40"/>
        <w:ind w:left="283"/>
      </w:pPr>
      <w:r>
        <w:rPr>
          <w:rFonts w:ascii="Calibri" w:hAnsi="Calibri"/>
          <w:b/>
          <w:color w:val="4A6B25"/>
          <w:sz w:val="20"/>
        </w:rPr>
        <w:t xml:space="preserve">2. </w:t>
      </w:r>
      <w:r>
        <w:rPr>
          <w:rFonts w:ascii="Calibri" w:hAnsi="Calibri"/>
          <w:b w:val="0"/>
          <w:color w:val="3A4A28"/>
          <w:sz w:val="20"/>
        </w:rPr>
        <w:t>Execution of the heritage-redevelopment contract and pursuit of larger government contracts leveraging GB1 and bizSAFE certifications [1]</w:t>
      </w:r>
    </w:p>
    <w:p>
      <w:pPr>
        <w:spacing w:before="40" w:after="40"/>
        <w:ind w:left="283"/>
      </w:pPr>
      <w:r>
        <w:rPr>
          <w:rFonts w:ascii="Calibri" w:hAnsi="Calibri"/>
          <w:b/>
          <w:color w:val="4A6B25"/>
          <w:sz w:val="20"/>
        </w:rPr>
        <w:t xml:space="preserve">3. </w:t>
      </w:r>
      <w:r>
        <w:rPr>
          <w:rFonts w:ascii="Calibri" w:hAnsi="Calibri"/>
          <w:b w:val="0"/>
          <w:color w:val="3A4A28"/>
          <w:sz w:val="20"/>
        </w:rPr>
        <w:t>Significant increase in trading volume that would restore the stock's IOWN investability — current levels are 99% below the $1M daily dollar volume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Daily dollar volume of ~$70,250 is 93% below the IOWN $1M threshold, making the stock effectively untradeable for any institutional or systematic strategy [4]</w:t>
      </w:r>
    </w:p>
    <w:p>
      <w:pPr>
        <w:spacing w:before="40" w:after="40"/>
        <w:ind w:left="283"/>
      </w:pPr>
      <w:r>
        <w:rPr>
          <w:rFonts w:ascii="Calibri" w:hAnsi="Calibri"/>
          <w:b/>
          <w:color w:val="4A6B25"/>
          <w:sz w:val="20"/>
        </w:rPr>
        <w:t xml:space="preserve">2. </w:t>
      </w:r>
      <w:r>
        <w:rPr>
          <w:rFonts w:ascii="Calibri" w:hAnsi="Calibri"/>
          <w:b w:val="0"/>
          <w:color w:val="3A4A28"/>
          <w:sz w:val="20"/>
        </w:rPr>
        <w:t>Multi-year revenue decline from SGD 13.35M (FY2023) to $5.96M TTM with sustained net losses (-$1.40M TTM), ROE of -46.44%, and no evidence of imminent stabilization [4]</w:t>
      </w:r>
    </w:p>
    <w:p>
      <w:pPr>
        <w:spacing w:before="40" w:after="40"/>
        <w:ind w:left="283"/>
      </w:pPr>
      <w:r>
        <w:rPr>
          <w:rFonts w:ascii="Calibri" w:hAnsi="Calibri"/>
          <w:b/>
          <w:color w:val="4A6B25"/>
          <w:sz w:val="20"/>
        </w:rPr>
        <w:t xml:space="preserve">3. </w:t>
      </w:r>
      <w:r>
        <w:rPr>
          <w:rFonts w:ascii="Calibri" w:hAnsi="Calibri"/>
          <w:b w:val="0"/>
          <w:color w:val="3A4A28"/>
          <w:sz w:val="20"/>
        </w:rPr>
        <w:t>Controlled company structure (Avanta BVI holding 60.87%/100% of Class A/B shares) with Cayman Islands incorporation gives minority shareholders virtually no governance protections or influence over capital allocation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Physical residential and commercial construction in Singapore — site work, project management, safety compliance, and regulatory approvals — is not directly substitutable by AI, though design, estimation, and administrative workflows could see gradual AI-tool adoption over time [3]. No analyst commentary specific to Springview's AI exposure exists given its minimal coverage as an 80-employee micro-cap. The Singapore construction industry broadly views AI as an enabler (98% of firms consider AI important to growth), suggesting AI is more opportunity than threat for construction firms willing to adopt it. AI Opportunity (0/1): No evidence of AI-related revenue or product initiatives. The company's recent diversification (solar MOU, drainage-technology license) is unrelated to 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Springview Holdings Contract Wins, Certifications — Heritage-redevelopment contract, GB1 upgrade, bizSAFE Level 4 — GlobeNewswire, FinViz, ir.springviewggl.com,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Springview Holdings Strategic Initiatives — Jiangsu GSO Solar MOU, Building Materials Distribution Agreement, Drainage Technology License — StockTitan, SEC filings,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Singapore Construction Industry AI Adoption — 98% of firms consider AI important to growth, Springview CEO Zhuo Wang safety commitment — TradeLinkMedia, ir.springviewggl.com,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CNBC — SPHL Key Statistics: Stock Price $8.87, Avg Volume 7,920, Market Cap $32.86M, ROE -46.44%, Profit Margin -23.56%,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