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SPWR</w:t>
      </w:r>
      <w:r>
        <w:rPr>
          <w:rFonts w:ascii="Calibri" w:hAnsi="Calibri"/>
          <w:b/>
          <w:color w:val="1A2010"/>
          <w:sz w:val="40"/>
        </w:rPr>
        <w:t xml:space="preserve">  SunPower Inc.</w:t>
      </w:r>
    </w:p>
    <w:p>
      <w:pPr>
        <w:spacing w:after="120"/>
      </w:pPr>
      <w:r>
        <w:rPr>
          <w:rFonts w:ascii="Calibri" w:hAnsi="Calibri"/>
          <w:b/>
          <w:color w:val="6E8450"/>
          <w:sz w:val="18"/>
        </w:rPr>
        <w:t>GROWTH SLEEVE · 2026-09-18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NASDAQ · United States</w:t>
      </w:r>
    </w:p>
    <w:p>
      <w:pPr>
        <w:spacing w:after="80"/>
      </w:pPr>
      <w:r>
        <w:rPr>
          <w:rFonts w:ascii="Calibri" w:hAnsi="Calibri"/>
          <w:b w:val="0"/>
          <w:color w:val="3A4A28"/>
          <w:sz w:val="20"/>
        </w:rPr>
        <w:t>SunPower Inc. is a post-bankruptcy successor entity that emerged when Complete Solaria acquired the SunPower brand and certain IP assets following the original SunPower Corporation's Chapter 11 bankruptcy filing in August 2024. The current company is legally and operationally distinct from the predecessor, sharing the brand name and certain intellectual property but not corporate continuity. Led by Chairman and CEO T.J. Rodgers (founder of Cypress Semiconductor), SunPower operates a residential solar platform with a dealer network division. Full-year 2025 revenue was $300M with an operating loss of $26.9M. Q2 2026 revenue declined sharply to $56M from $72.8M in Q1, well below the $400M+ full-year 2026 target. The stock trades at $0.35 per share with a market cap of approximately $74M.</w:t>
      </w:r>
    </w:p>
    <w:p>
      <w:r>
        <w:rPr>
          <w:rFonts w:ascii="Calibri" w:hAnsi="Calibri"/>
          <w:b/>
          <w:color w:val="6E8450"/>
          <w:sz w:val="18"/>
        </w:rPr>
        <w:t>https://us.sunpower.com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The current SunPower Inc. is essentially a rebranded Complete Solaria with no significant innovation track record of its own. The predecessor SunPower Corporation went bankrupt in August 2024 after a steep demand decline, accounting problems, and liquidity crisis [1]. The successor entity has been focused on post-bankruptcy stabilization rather than product innovation, and Q2 2026 revenue declined 23% sequentially to $56M, indicating execution challenges in the turnaround [1]. AI Deployment (0/2): No AI-powered products, AI-driven operational savings, or AI strategy was identified for the successor SunPower entity. The company's focus is on rebuilding a residential solar dealer network, not technology innovation. Market Share (0/2): Post-bankruptcy, SunPower's market share in residential solar has been significantly diminished. The predecessor was a major player with $1.69B in 2023 revenue; the successor entity reported only $300M in 2025 revenue and declining quarters, reflecting a dramatically reduced market position [1]. Product Pipeline (0/2): The company mentioned 'Helios' on its website and has a $1B 2028 revenue target, but with Q2 2026 revenue declining to $56M (well below the $400M 2026 target), forward product pipeline credibility is severely undermined [1][2]. R&amp;D Intensity (0/1): No R&amp;D spending disclosure or evidence of meaningful technology development investment in the successor entity.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Solar energy inherently connects to a purpose — enabling clean energy adoption for residential customers and contributing to the energy transition. However, the successor SunPower has not articulated a distinctive mission beyond generic clean energy positioning, and CEO T.J. Rodgers is historically a critic of ESG-style corporate governance from his Cypress Semiconductor tenure [3]. The mission, insofar as it exists, is interchangeable with any residential solar company. Community Impact (0/2): No evidence of charitable programs, community investment, or foundation activity was identified for the successor entity. The company is in survival mode post-bankruptcy and does not have resources for meaningful community programs. Employee Retention (0/2): The company is assembling a new leadership team post-bankruptcy with Max Britton (former Sunder Energy CEO) leading the Dealer Division and Tom Kowalzcuk as CFO [2]. Employee count, retention data, and cultural practices are not available for a company undergoing post-bankruptcy reconstruction. Insider Buying (0/2): No evidence of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 D/E, ROE, PEG ratio, and 5-year revenue CAGR are unavailable due to the post-bankruptcy entity structure, so scoring uses only three available metrics. Forward P/E of 8.83x scores maximum (well below the 20x target), providing the only strong metric — though this reflects a $0.35 stock price with speculative forward EPS of ~$0.04 [1]. Revenue growth YoY of -17% scores near the -20% floor at 0.10, reflecting the sharp decline from Q4 2025 record revenue of $88.5M to Q2 2026 of $56M. Profit margin of -3.8% scores 0 as the company remains unprofitable despite management claims of profitability in late 2025 [1]. The stock is a $0.35 penny stock with a $74M market cap, barely clearing the liquidity floor at ~$3.4M daily trading value. The limited data availability and post-bankruptcy status significantly constrain the infrastructure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SunPower Inc. is a post-bankruptcy successor entity focused on near-term survival rather than infinite game thinking. The predecessor company's bankruptcy in August 2024 — caused by accounting problems, liquidity crisis, and demand collapse — represents the antithesis of building to endure. The successor entity under T.J. Rodgers is assembling a new team and attempting a turnaround, but with Q2 2026 revenue declining 23% sequentially and the stock at $0.35, the company is playing a finite game of survival. There is no demonstrated Just Cause, no evidence of trusting teams, and no track record of courageous leadership decisions or strategic flexibility.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Solar energy inherently carries a purpose — enabling clean energy adoption, reducing carbon emissions, and making residential solar accessible. This connects the company's work to the broader energy transition [1]. However, the successor SunPower has not articulated this cause distinctively, and CEO T.J. Rodgers' historical skepticism of ESG frameworks suggests the company's direction will be driven by financial pragmatism rather than a cause-driven vision [3]. The purpose exists in the industry, not specifically in this company's articulation of 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is assembling an entirely new leadership team post-bankruptcy — CFO Tom Kowalzcuk, Dealer Division head Max Britton, and other recent hires — with no established organizational culture, employee trust baseline, or evidence of team cohesion [2]. The predecessor company's bankruptcy, preceded by layoffs and accounting scandals, destroyed whatever trust existed. A company in post-bankruptcy reconstruction cannot meaningfully demonstrate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acknowledgment of rivals' strengths. The company is focused on survival and turnaround, not competitive positioning relative to Sunrun, Tesla Solar, or other residential solar competitors.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predecessor SunPower Corporation failed the ultimate test of existential flexibility — it could not adapt to changing market conditions (California NEM 3.0, rising interest rates, demand decline) and went bankrupt [3]. The successor entity is essentially a restart, not a strategic reinvention. While the rebranding from Complete Solaria to SunPower represents a form of flexibility (acquiring a distressed brand), it is opportunistic rather than purpose-driven.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in the successor entity. T.J. Rodgers' involvement brings technical credibility from his Cypress Semiconductor background, but the company's turnaround plan — rebuilding a dealer network, targeting $400M revenue in 2026 — is a standard post-bankruptcy recovery playbook, not a courageous long-term bet [1][2]. Q2 2026 revenue declining to $56M (well below guidance) suggests execution challenges rather than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SunPower Inc. at $0.35/share and $74M market cap offers highly speculative turnaround exposure to the residential solar market under the leadership of T.J. Rodgers (Cypress Semiconductor founder). The successor entity achieved four consecutive profitable quarters by year-end 2025, and Q4 2025 set a record quarterly revenue of $88.5M, suggesting the turnaround had early momentum [1]. The company targets $400M+ revenue for 2026 and $1B by 2028, and the AI-driven energy boom could serve as a structural tailwind for residential solar adoption. The Forward P/E of 8.83x (on speculative forward EPS) and low price create asymmetric upside potential if the turnaround succeeds. The Inspire Impact Score of 36 (ALIGNED) with zero negative attributions reflects the inherent ESG appeal of solar energy.</w:t>
      </w:r>
    </w:p>
    <w:p>
      <w:pPr>
        <w:spacing w:after="120"/>
      </w:pPr>
      <w:r>
        <w:rPr>
          <w:rFonts w:ascii="Calibri" w:hAnsi="Calibri"/>
          <w:b w:val="0"/>
          <w:color w:val="3A4A28"/>
          <w:sz w:val="20"/>
        </w:rPr>
        <w:t>The bear case is overwhelming for all but the most speculative investors. Q2 2026 revenue declined 23% sequentially to $56M from $72.8M in Q1, well below the trajectory needed for the $400M annual target — suggesting the turnaround is already failing [1]. The predecessor SunPower Corporation went bankrupt in August 2024 after a GAAP net loss of $247M on $1.69B revenue, accounting scandals, and a liquidity crisis, and the successor entity shares only the brand and IP, not operational continuity or customer relationships [3]. The stock is a $0.35 penny stock — illiquid, volatile, and subject to delisting risk. D/E, ROE, and PEG ratio are unavailable due to the post-bankruptcy entity structure, making fundamental analysis nearly impossible. The residential solar market faces ongoing headwinds from California's NEM 3.0 policy, elevated interest rates, and competition from well-capitalized players (Sunrun, Tesla Solar). CEO T.J. Rodgers' ESG skepticism creates tension with the inherently ESG-oriented solar industry. Innovation (0/10), Inspiration (1/10), and Infinite Game (1/10) scores reflect a company with no track record, no purpose beyond survival, and no demonstrated ability to endure — the predecessor already failed this test.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T.J. Rodgers' turnaround leadership could accelerate if Q3-Q4 2026 revenue recovers toward the $88.5M quarterly peak achieved in Q4 2025, rebuilding credibility with investors and potentially attracting institutional capital [1]</w:t>
      </w:r>
    </w:p>
    <w:p>
      <w:pPr>
        <w:spacing w:before="40" w:after="40"/>
        <w:ind w:left="283"/>
      </w:pPr>
      <w:r>
        <w:rPr>
          <w:rFonts w:ascii="Calibri" w:hAnsi="Calibri"/>
          <w:b/>
          <w:color w:val="4A6B25"/>
          <w:sz w:val="20"/>
        </w:rPr>
        <w:t xml:space="preserve">2. </w:t>
      </w:r>
      <w:r>
        <w:rPr>
          <w:rFonts w:ascii="Calibri" w:hAnsi="Calibri"/>
          <w:b w:val="0"/>
          <w:color w:val="3A4A28"/>
          <w:sz w:val="20"/>
        </w:rPr>
        <w:t>AI-driven data center energy demand creating structural tailwind for residential and commercial solar adoption, with SunPower positioned as a recognizable consumer solar brand if it can stabilize operations [1]</w:t>
      </w:r>
    </w:p>
    <w:p>
      <w:pPr>
        <w:spacing w:before="40" w:after="40"/>
        <w:ind w:left="283"/>
      </w:pPr>
      <w:r>
        <w:rPr>
          <w:rFonts w:ascii="Calibri" w:hAnsi="Calibri"/>
          <w:b/>
          <w:color w:val="4A6B25"/>
          <w:sz w:val="20"/>
        </w:rPr>
        <w:t xml:space="preserve">3. </w:t>
      </w:r>
      <w:r>
        <w:rPr>
          <w:rFonts w:ascii="Calibri" w:hAnsi="Calibri"/>
          <w:b w:val="0"/>
          <w:color w:val="3A4A28"/>
          <w:sz w:val="20"/>
        </w:rPr>
        <w:t>Extreme low valuation ($74M market cap, 0.15x trailing revenue) provides asymmetric upside if the $1B 2028 revenue target proves achievable — any credible evidence of execution would significantly re-rate the stock from penny-stock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declined 23% sequentially to $56M from $72.8M in Q1, indicating the turnaround is stalling rather than accelerating — the $400M 2026 revenue target appears increasingly unreachable, and continued declines could trigger another liquidity crisis [1]</w:t>
      </w:r>
    </w:p>
    <w:p>
      <w:pPr>
        <w:spacing w:before="40" w:after="40"/>
        <w:ind w:left="283"/>
      </w:pPr>
      <w:r>
        <w:rPr>
          <w:rFonts w:ascii="Calibri" w:hAnsi="Calibri"/>
          <w:b/>
          <w:color w:val="4A6B25"/>
          <w:sz w:val="20"/>
        </w:rPr>
        <w:t xml:space="preserve">2. </w:t>
      </w:r>
      <w:r>
        <w:rPr>
          <w:rFonts w:ascii="Calibri" w:hAnsi="Calibri"/>
          <w:b w:val="0"/>
          <w:color w:val="3A4A28"/>
          <w:sz w:val="20"/>
        </w:rPr>
        <w:t>Penny stock at $0.35 with $74M market cap faces delisting risk from NASDAQ if the stock trades below $1 for extended periods, and the extreme volatility and low institutional ownership make the stock unsuitable for most portfolios</w:t>
      </w:r>
    </w:p>
    <w:p>
      <w:pPr>
        <w:spacing w:before="40" w:after="40"/>
        <w:ind w:left="283"/>
      </w:pPr>
      <w:r>
        <w:rPr>
          <w:rFonts w:ascii="Calibri" w:hAnsi="Calibri"/>
          <w:b/>
          <w:color w:val="4A6B25"/>
          <w:sz w:val="20"/>
        </w:rPr>
        <w:t xml:space="preserve">3. </w:t>
      </w:r>
      <w:r>
        <w:rPr>
          <w:rFonts w:ascii="Calibri" w:hAnsi="Calibri"/>
          <w:b w:val="0"/>
          <w:color w:val="3A4A28"/>
          <w:sz w:val="20"/>
        </w:rPr>
        <w:t>Predecessor SunPower Corporation's bankruptcy was caused by accounting problems, erroneous financial reports, and liquidity crisis — the successor entity has not demonstrated it has resolved these governance and internal control weaknesses, creating risk of repeat failures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SunPower's core business — residential solar installation through a dealer network — involves physical hardware deployment (solar panels, inverters, batteries) and on-site installation labor that AI cannot substitute. The energy transition requires physical infrastructure that AI structurally cannot replace [1]. A Seeking Alpha analysis identified SunPower as a 'covert beneficiary of the AI-driven energy boom' because AI data centers are driving massive demand for clean energy, including solar generation capacity [1]. However, AI could disrupt peripheral value chain elements — customer acquisition (AI-generated leads replacing human sales), system design (AI-optimized panel layout replacing engineering services), and customer service. The dealer model is particularly vulnerable to AI-driven direct-to-consumer channels that could bypass traditional solar sales networks. AI Opportunity (0/1): SunPower generates no AI-related revenue. The company has no AI products, AI-driven services, or quantifiable AI revenue contribution. While the broader AI-driven energy demand thesis could indirectly benefit solar, SunPower as a residential installer would be a downstream, not direct, beneficiary.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SunPower Inc. Q1-Q2 2026 Earnings and Post-Bankruptcy Performance — Q2 Revenue $56M (-23% QoQ), FY2025 Revenue $300M, Q4 2025 Record $88.5M, $400M 2026 Target, AI Energy Boom Thesis, SEC Filings and Seeking Alpha, 2026</w:t>
      </w:r>
    </w:p>
    <w:p>
      <w:pPr>
        <w:spacing w:before="20" w:after="20"/>
        <w:ind w:left="170"/>
      </w:pPr>
      <w:r>
        <w:rPr>
          <w:rFonts w:ascii="Calibri" w:hAnsi="Calibri"/>
          <w:b/>
          <w:color w:val="4A6B25"/>
          <w:sz w:val="15"/>
        </w:rPr>
        <w:t xml:space="preserve">2. </w:t>
      </w:r>
      <w:r>
        <w:rPr>
          <w:rFonts w:ascii="Calibri" w:hAnsi="Calibri"/>
          <w:b w:val="0"/>
          <w:color w:val="3A4A28"/>
          <w:sz w:val="17"/>
        </w:rPr>
        <w:t>SunPower Inc. Leadership and Restructuring — CEO T.J. Rodgers, CFO Tom Kowalzcuk, Dealer Division Head Max Britton, Roth Conference Presentation, TipRanks and investing.com, 2025-2026</w:t>
      </w:r>
    </w:p>
    <w:p>
      <w:pPr>
        <w:spacing w:before="20" w:after="20"/>
        <w:ind w:left="170"/>
      </w:pPr>
      <w:r>
        <w:rPr>
          <w:rFonts w:ascii="Calibri" w:hAnsi="Calibri"/>
          <w:b/>
          <w:color w:val="4A6B25"/>
          <w:sz w:val="15"/>
        </w:rPr>
        <w:t xml:space="preserve">3. </w:t>
      </w:r>
      <w:r>
        <w:rPr>
          <w:rFonts w:ascii="Calibri" w:hAnsi="Calibri"/>
          <w:b w:val="0"/>
          <w:color w:val="3A4A28"/>
          <w:sz w:val="17"/>
        </w:rPr>
        <w:t>SunPower Corporation Bankruptcy and Successor Entity — Chapter 11 Filed August 2024, Complete Solaria Acquisition and Rebrand, California NEM 3.0 Impact, Accounting Scandals, ESG Dive and EnergySage, 2024-2025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