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SRE</w:t>
      </w:r>
      <w:r>
        <w:rPr>
          <w:rFonts w:ascii="Calibri" w:hAnsi="Calibri"/>
          <w:b/>
          <w:color w:val="1A2010"/>
          <w:sz w:val="40"/>
        </w:rPr>
        <w:t xml:space="preserve">  Sempra</w:t>
      </w:r>
    </w:p>
    <w:p>
      <w:pPr>
        <w:spacing w:after="120"/>
      </w:pPr>
      <w:r>
        <w:rPr>
          <w:rFonts w:ascii="Calibri" w:hAnsi="Calibri"/>
          <w:b/>
          <w:color w:val="6E8450"/>
          <w:sz w:val="18"/>
        </w:rPr>
        <w:t>DIVIDEND SLEEVE · 2026-09-01 · Inspire: -49 · INFINITE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FFF8E1" w:val="clear"/>
          </w:tcPr>
          <w:p>
            <w:pPr>
              <w:spacing w:before="40" w:after="40"/>
              <w:jc w:val="center"/>
            </w:pPr>
            <w:r>
              <w:rPr>
                <w:rFonts w:ascii="Calibri" w:hAnsi="Calibri"/>
                <w:b/>
                <w:color w:val="D97706"/>
                <w:sz w:val="20"/>
              </w:rPr>
              <w:t>HOLD</w:t>
            </w:r>
          </w:p>
        </w:tc>
      </w:tr>
    </w:tbl>
    <w:p>
      <w:pPr>
        <w:spacing w:before="120" w:after="200"/>
      </w:pPr>
      <w:r>
        <w:rPr>
          <w:rFonts w:ascii="Calibri" w:hAnsi="Calibri"/>
          <w:b/>
          <w:color w:val="1A2010"/>
          <w:sz w:val="80"/>
        </w:rPr>
        <w:t>73</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Utilities · Utilities - Diversified · NYSE · United States</w:t>
      </w:r>
    </w:p>
    <w:p>
      <w:pPr>
        <w:spacing w:after="80"/>
      </w:pPr>
      <w:r>
        <w:rPr>
          <w:rFonts w:ascii="Calibri" w:hAnsi="Calibri"/>
          <w:b w:val="0"/>
          <w:color w:val="3A4A28"/>
          <w:sz w:val="20"/>
        </w:rPr>
        <w:t>Sempra is a Fortune 500 energy infrastructure company with approximately $110 billion in assets and 16,800 employees. Operating through regulated utilities SDG&amp;E and SoCalGas in California, Sempra Texas (majority owner of Oncor), and Sempra Infrastructure (LNG and clean energy), the company serves approximately 40 million consumers. FY2025 revenue was $13.7B. Sempra announced a record $65 billion capital plan through 2030 targeting 11% compound rate base growth and 7-9% long-term EPS growth.</w:t>
      </w:r>
    </w:p>
    <w:p>
      <w:r>
        <w:rPr>
          <w:rFonts w:ascii="Calibri" w:hAnsi="Calibri"/>
          <w:b/>
          <w:color w:val="6E8450"/>
          <w:sz w:val="18"/>
        </w:rPr>
        <w:t>16,800 Employees · https://www.sempra.com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(1/3): Sempra delivered $13.7B in FY2025 revenue with Q2 2026 net income rising to $796M, driven by Oncor rate base growth and Sempra Infrastructure's LNG development [1][3]. However, revenue declined 3.9% in Q1 2026 YoY and grew only 1.6% on a trailing twelve-month basis, reflecting the slow-growth nature of regulated utilities. The company is an infrastructure builder, not a technology innovator. AI Deployment (1/2): Sempra leverages AI and next-generation technology to forecast weather, monitor power grid conditions, and predict potential infrastructure problems, enhancing reliability across its California utilities [6]. These are operational tools rather than revenue-generating innovations. Market Share (2/2): Sempra owns the dominant regulated utility franchise in Southern California through SDG&amp;E and SoCalGas, is the majority owner of Oncor (the largest transmission and distribution utility in Texas), and operates one of the largest LNG development platforms in North America [3]. Pipeline (1/2): The $65B capital plan through 2030 represents one of the most ambitious infrastructure buildouts in the utility sector, with Cameron LNG Phase 2, Port Arthur LNG, and significant transmission investments to support data center and electrification demand [7]. R&amp;D Intensity (1/1): Investing in grid modernization, renewable integration technology, and digital infrastructure monitoring, consistent with leading utility innovation spending [6].</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(2/4): 'Building modern energy networks' with a vision of serving North America's growing energy needs is clear and purpose-driven, connecting the company's operations to the energy transition and economic development, though it is not uniquely inspirational beyond the utility sector [3][6]. Community Impact (2/2): Sempra serves approximately 40 million consumers across California and Texas, has committed to net-zero GHG emissions by 2050, published comprehensive sustainability reports, and launched a Sustainable Financing Framework aligned with Green and Social Bond Principles [6]. CEO Martin's emphasis on 'energy access, reliability, and affordability' demonstrates genuine stakeholder orientation. Employee Retention (1/2): Glassdoor rating of 4.3/5 with strong marks for pay, benefits, and supportive leadership indicates above-average employee satisfaction [5]. Common positive themes include great compensation, collaborative culture, and job security. However, no specific tenure or turnover data distinguishes Sempra from peers. Insider Buying (1/2): CEO Martin's compensation is heavily equity-linked, aligning interests with long-term shareholders, though no significant open-market insider purchases have been prominently reported.</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16A34A"/>
          <w:sz w:val="16"/>
        </w:rPr>
        <w:t xml:space="preserve"> STRONG </w:t>
      </w:r>
    </w:p>
    <w:p>
      <w:pPr>
        <w:spacing w:before="0" w:after="40"/>
      </w:pPr>
      <w:r>
        <w:rPr>
          <w:rFonts w:ascii="Calibri" w:hAnsi="Calibri"/>
          <w:b/>
          <w:color w:val="16A34A"/>
          <w:sz w:val="28"/>
        </w:rPr>
        <w:t>8</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409"/>
            <w:shd w:fill="16A34A" w:val="clear"/>
          </w:tcPr>
          <w:p>
            <w:pPr>
              <w:spacing w:before="0" w:after="0"/>
            </w:pPr>
            <w:r>
              <w:rPr>
                <w:rFonts w:ascii="Calibri" w:hAnsi="Calibri"/>
                <w:b w:val="0"/>
                <w:color w:val="1A2010"/>
                <w:sz w:val="4"/>
              </w:rPr>
            </w:r>
          </w:p>
        </w:tc>
        <w:tc>
          <w:tcPr>
            <w:tcW w:type="dxa" w:w="1102"/>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on available metrics. D/E of 81% is well below the 300% floor and close to the 70% target (score 0.95), reflecting conservative leverage for a regulated utility [4]. Forward P/E of 17.44 scores a perfect 1.0 at below the 20 target. ROE of 6.77% is modest for a capital-intensive utility (score 0.45), suppressed by the massive $110B asset base and regulatory lag [4]. Revenue grew 1.6% YoY (score 0.72) with a 5yr CAGR of approximately 3.8% (score 0.59), reflecting the regulated utility growth profile. Profit margin of 15.75% scores 0.79 [4]. Dividend metrics anchor the score: 27+ consecutive years of payment (score 1.0, 2x weight) and 23 consecutive years of growth (score 1.0), with a 5yr dividend growth CAGR of 4.12% (score 0.69, 2x weight). Payout ratio of 85% is elevated (score 0.25), though typical for regulated utilities. Daily dollar volume of approximately $325M provides exceptional liquidity [4].</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16A34A"/>
          <w:sz w:val="22"/>
        </w:rPr>
        <w:t>INFINITE</w:t>
      </w:r>
      <w:r>
        <w:rPr>
          <w:rFonts w:ascii="Calibri" w:hAnsi="Calibri"/>
          <w:b w:val="0"/>
          <w:color w:val="6E8450"/>
          <w:sz w:val="22"/>
        </w:rPr>
        <w:t xml:space="preserve">      Overall: </w:t>
      </w:r>
      <w:r>
        <w:rPr>
          <w:rFonts w:ascii="Calibri" w:hAnsi="Calibri"/>
          <w:b/>
          <w:color w:val="16A34A"/>
          <w:sz w:val="28"/>
        </w:rPr>
        <w:t>8</w:t>
      </w:r>
      <w:r>
        <w:rPr>
          <w:rFonts w:ascii="Calibri" w:hAnsi="Calibri"/>
          <w:b w:val="0"/>
          <w:color w:val="9DAF88"/>
          <w:sz w:val="18"/>
        </w:rPr>
        <w:t xml:space="preserve"> /10</w:t>
      </w:r>
    </w:p>
    <w:p>
      <w:pPr>
        <w:spacing w:after="120"/>
      </w:pPr>
      <w:r>
        <w:rPr>
          <w:rFonts w:ascii="Calibri" w:hAnsi="Calibri"/>
          <w:b w:val="0"/>
          <w:color w:val="3A4A28"/>
          <w:sz w:val="18"/>
        </w:rPr>
        <w:t>Sempra exemplifies infinite game thinking through its $65B capital investment plan through 2030, 23 consecutive years of dividend growth, and the strategic vision to build North America's premier energy infrastructure platform spanning regulated utilities, transmission, and LNG. CEO Jeffrey Martin has led a multi-year transformation from a regional California utility into a diversified energy infrastructure company with national and international reach. The company's net-zero 2050 commitment, massive capital redeployment toward electrification and LNG, and willingness to take decade-long development bets on infrastructure projects demonstrate genuine long-term orientation.</w:t>
      </w:r>
    </w:p>
    <w:p>
      <w:pPr>
        <w:spacing w:before="200" w:after="40"/>
      </w:pPr>
      <w:r>
        <w:rPr>
          <w:rFonts w:ascii="Calibri" w:hAnsi="Calibri"/>
          <w:b/>
          <w:color w:val="1A2010"/>
          <w:sz w:val="22"/>
        </w:rPr>
        <w:t>Just Cause</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(2/3): Sempra's cause — providing safe, reliable, and affordable energy to approximately 40 million consumers while enabling the energy transition — is deeply lived through its operations and capital allocation [3][6]. The $65B capital plan, net-zero 2050 commitment, and Sustainable Financing Framework demonstrate purpose shaping multi-billion-dollar investment decisions. CEO Martin's articulation of 'building modern energy networks' connects daily operations to generational infrastructure needs. The cause is genuine and consequential but inherently tied to the utility model rather than a transcendent vision.</w:t>
      </w:r>
    </w:p>
    <w:p>
      <w:pPr>
        <w:spacing w:before="200" w:after="40"/>
      </w:pPr>
      <w:r>
        <w:rPr>
          <w:rFonts w:ascii="Calibri" w:hAnsi="Calibri"/>
          <w:b/>
          <w:color w:val="1A2010"/>
          <w:sz w:val="22"/>
        </w:rPr>
        <w:t>Trusting Teams</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(1/2): Glassdoor rating of 4.3/5 across 213 reviews signals strong employee satisfaction, with common themes of supportive leadership, excellent pay and benefits, and a collaborative work environment [5]. CEO Martin has provided stable leadership, and the 16,800-person workforce operates across well-established utility cultures in California and Texas. However, no specific employee engagement scores, retention metrics, or cultural differentiation programs distinguish Sempra from top-tier utility peers.</w:t>
      </w:r>
    </w:p>
    <w:p>
      <w:pPr>
        <w:spacing w:before="200" w:after="40"/>
      </w:pPr>
      <w:r>
        <w:rPr>
          <w:rFonts w:ascii="Calibri" w:hAnsi="Calibri"/>
          <w:b/>
          <w:color w:val="1A2010"/>
          <w:sz w:val="22"/>
        </w:rPr>
        <w:t>Worthy Rivals</w:t>
      </w:r>
    </w:p>
    <w:p>
      <w:pPr>
        <w:spacing w:before="0" w:after="40"/>
      </w:pPr>
      <w:r>
        <w:rPr>
          <w:rFonts w:ascii="Calibri" w:hAnsi="Calibri"/>
          <w:b/>
          <w:color w:val="16A34A"/>
          <w:sz w:val="28"/>
        </w:rPr>
        <w:t>10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2"/>
            <w:shd w:fill="16A34A" w:val="clear"/>
          </w:tcPr>
          <w:p>
            <w:pPr>
              <w:spacing w:before="0" w:after="0"/>
            </w:pPr>
            <w:r>
              <w:rPr>
                <w:rFonts w:ascii="Calibri" w:hAnsi="Calibri"/>
                <w:b w:val="0"/>
                <w:color w:val="1A2010"/>
                <w:sz w:val="4"/>
              </w:rPr>
            </w:r>
          </w:p>
        </w:tc>
        <w:tc>
          <w:tcPr>
            <w:tcW w:type="dxa" w:w="0"/>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(1/1): Sempra benchmarks against NextEra Energy (renewable leadership), Duke Energy (regulated utility scale), and Southern Company (integrated utility model) with a constructive competitive orientation [3]. The company's pivot into LNG infrastructure and data center power reflects learning from NextEra's first-mover advantage in renewables, and the Oncor investment was partly inspired by Berkshire Hathaway Energy's transmission strategy.</w:t>
      </w:r>
    </w:p>
    <w:p>
      <w:pPr>
        <w:spacing w:before="200" w:after="40"/>
      </w:pPr>
      <w:r>
        <w:rPr>
          <w:rFonts w:ascii="Calibri" w:hAnsi="Calibri"/>
          <w:b/>
          <w:color w:val="1A2010"/>
          <w:sz w:val="22"/>
        </w:rPr>
        <w:t>Existential Flexibility</w:t>
      </w:r>
    </w:p>
    <w:p>
      <w:pPr>
        <w:spacing w:before="0" w:after="40"/>
      </w:pPr>
      <w:r>
        <w:rPr>
          <w:rFonts w:ascii="Calibri" w:hAnsi="Calibri"/>
          <w:b/>
          <w:color w:val="16A34A"/>
          <w:sz w:val="28"/>
        </w:rPr>
        <w:t>10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2"/>
            <w:shd w:fill="16A34A" w:val="clear"/>
          </w:tcPr>
          <w:p>
            <w:pPr>
              <w:spacing w:before="0" w:after="0"/>
            </w:pPr>
            <w:r>
              <w:rPr>
                <w:rFonts w:ascii="Calibri" w:hAnsi="Calibri"/>
                <w:b w:val="0"/>
                <w:color w:val="1A2010"/>
                <w:sz w:val="4"/>
              </w:rPr>
            </w:r>
          </w:p>
        </w:tc>
        <w:tc>
          <w:tcPr>
            <w:tcW w:type="dxa" w:w="0"/>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(2/2): Sempra has undergone a fundamental strategic transformation over the past decade — from a regional California gas and electric utility to a diversified North American energy infrastructure platform encompassing regulated utilities, transmission (Oncor), LNG development (Cameron, Port Arthur), and clean energy infrastructure [3][7]. The $65B capital plan targeting 95% regulated earnings mix by 2030 represents another strategic pivot toward higher-quality, more predictable earnings. These are not incremental adjustments but fundamental reshapings of the company's identity and competitive positioning.</w:t>
      </w:r>
    </w:p>
    <w:p>
      <w:pPr>
        <w:spacing w:before="200" w:after="40"/>
      </w:pPr>
      <w:r>
        <w:rPr>
          <w:rFonts w:ascii="Calibri" w:hAnsi="Calibri"/>
          <w:b/>
          <w:color w:val="1A2010"/>
          <w:sz w:val="22"/>
        </w:rPr>
        <w:t>Courage To Lead</w:t>
      </w:r>
    </w:p>
    <w:p>
      <w:pPr>
        <w:spacing w:before="0" w:after="40"/>
      </w:pPr>
      <w:r>
        <w:rPr>
          <w:rFonts w:ascii="Calibri" w:hAnsi="Calibri"/>
          <w:b/>
          <w:color w:val="16A34A"/>
          <w:sz w:val="28"/>
        </w:rPr>
        <w:t>10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2"/>
            <w:shd w:fill="16A34A" w:val="clear"/>
          </w:tcPr>
          <w:p>
            <w:pPr>
              <w:spacing w:before="0" w:after="0"/>
            </w:pPr>
            <w:r>
              <w:rPr>
                <w:rFonts w:ascii="Calibri" w:hAnsi="Calibri"/>
                <w:b w:val="0"/>
                <w:color w:val="1A2010"/>
                <w:sz w:val="4"/>
              </w:rPr>
            </w:r>
          </w:p>
        </w:tc>
        <w:tc>
          <w:tcPr>
            <w:tcW w:type="dxa" w:w="0"/>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(2/2): CEO Martin committed to a record $65B capital plan through 2030 — one of the largest in the utility industry — while maintaining 23 consecutive years of dividend growth and guiding to 7-9% long-term EPS growth [7]. The multi-billion-dollar bets on Port Arthur LNG and Cameron LNG Phase 2 required conviction in decade-long energy infrastructure demand at a time of significant policy uncertainty. The strategic pivot away from non-core businesses to focus on regulated infrastructure reflects disciplined boldness rather than reckless expansion.</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Sempra offers a compelling blend of defensive utility characteristics and above-average growth potential, anchored by a record $65B capital investment plan through 2030 targeting 11% rate base CAGR and 7-9% EPS growth [7]. The company's regulated utility moat — serving 40 million consumers through SDG&amp;E, SoCalGas, and Oncor — provides highly visible, inflation-protected earnings, while Sempra Infrastructure's LNG development platform adds optionality to the energy export theme [1][3]. Oncor's positioning in Texas to capture data center and electrification-driven demand growth is a differentiated catalyst. With 23 consecutive years of dividend growth, a 2.88% yield, and forward P/E of 17.44, Sempra trades at a discount to utility peers while offering a superior growth profile. CEO Martin's strategic transformation from a regional utility to a national infrastructure platform demonstrates disciplined capital allocation over a multi-decade horizon.</w:t>
      </w:r>
    </w:p>
    <w:p>
      <w:pPr>
        <w:spacing w:after="120"/>
      </w:pPr>
      <w:r>
        <w:rPr>
          <w:rFonts w:ascii="Calibri" w:hAnsi="Calibri"/>
          <w:b w:val="0"/>
          <w:color w:val="3A4A28"/>
          <w:sz w:val="20"/>
        </w:rPr>
        <w:t>Bear case risks include the elevated trailing P/E of 28.5x, which reflects depressed near-term earnings from regulatory lag and investment cycle timing rather than permanent overvaluation [4]. The 85% payout ratio limits retained earnings for reinvestment, and the $65B capital plan requires significant external financing that could dilute shareholders or pressure credit metrics if interest rates remain elevated [7]. Revenue growth of just 1.6% YoY and 3.8% 5yr CAGR reflects the inherent slow-growth nature of regulated utilities, and ROE of 6.77% trails the 15% target meaningfully [4]. California regulatory risk remains a persistent overhang, with wildfire liability, rate case outcomes, and political uncertainty around energy policy. The Inspire Impact score of -49 (MISALIGNED) may deter faith-aligned investors despite the company's extensive positive ESG attributions across 20 categories [6].</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Execution on $65B capital plan driving 11% rate base CAGR through 2030, with Oncor capturing accelerating data center and electrification demand in Texas</w:t>
      </w:r>
    </w:p>
    <w:p>
      <w:pPr>
        <w:spacing w:before="40" w:after="40"/>
        <w:ind w:left="283"/>
      </w:pPr>
      <w:r>
        <w:rPr>
          <w:rFonts w:ascii="Calibri" w:hAnsi="Calibri"/>
          <w:b/>
          <w:color w:val="4A6B25"/>
          <w:sz w:val="20"/>
        </w:rPr>
        <w:t xml:space="preserve">2. </w:t>
      </w:r>
      <w:r>
        <w:rPr>
          <w:rFonts w:ascii="Calibri" w:hAnsi="Calibri"/>
          <w:b w:val="0"/>
          <w:color w:val="3A4A28"/>
          <w:sz w:val="20"/>
        </w:rPr>
        <w:t>Port Arthur LNG and Cameron LNG Phase 2 development milestones de-risking Sempra Infrastructure's growth platform and unlocking earnings visibility</w:t>
      </w:r>
    </w:p>
    <w:p>
      <w:pPr>
        <w:spacing w:before="40" w:after="40"/>
        <w:ind w:left="283"/>
      </w:pPr>
      <w:r>
        <w:rPr>
          <w:rFonts w:ascii="Calibri" w:hAnsi="Calibri"/>
          <w:b/>
          <w:color w:val="4A6B25"/>
          <w:sz w:val="20"/>
        </w:rPr>
        <w:t xml:space="preserve">3. </w:t>
      </w:r>
      <w:r>
        <w:rPr>
          <w:rFonts w:ascii="Calibri" w:hAnsi="Calibri"/>
          <w:b w:val="0"/>
          <w:color w:val="3A4A28"/>
          <w:sz w:val="20"/>
        </w:rPr>
        <w:t>Continued dividend growth trajectory — 24th consecutive annual increase expected in 2026 — supported by regulated earnings mix improving to 95% by 2030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California regulatory and wildfire liability risk — rate case outcomes, political intervention, and catastrophic event exposure could impair utility earnings and create capital calls</w:t>
      </w:r>
    </w:p>
    <w:p>
      <w:pPr>
        <w:spacing w:before="40" w:after="40"/>
        <w:ind w:left="283"/>
      </w:pPr>
      <w:r>
        <w:rPr>
          <w:rFonts w:ascii="Calibri" w:hAnsi="Calibri"/>
          <w:b/>
          <w:color w:val="4A6B25"/>
          <w:sz w:val="20"/>
        </w:rPr>
        <w:t xml:space="preserve">2. </w:t>
      </w:r>
      <w:r>
        <w:rPr>
          <w:rFonts w:ascii="Calibri" w:hAnsi="Calibri"/>
          <w:b w:val="0"/>
          <w:color w:val="3A4A28"/>
          <w:sz w:val="20"/>
        </w:rPr>
        <w:t>Elevated 85% payout ratio and massive $65B capital plan require significant external financing; sustained high interest rates could compress returns on invested capital below regulatory assumptions</w:t>
      </w:r>
    </w:p>
    <w:p>
      <w:pPr>
        <w:spacing w:before="40" w:after="40"/>
        <w:ind w:left="283"/>
      </w:pPr>
      <w:r>
        <w:rPr>
          <w:rFonts w:ascii="Calibri" w:hAnsi="Calibri"/>
          <w:b/>
          <w:color w:val="4A6B25"/>
          <w:sz w:val="20"/>
        </w:rPr>
        <w:t xml:space="preserve">3. </w:t>
      </w:r>
      <w:r>
        <w:rPr>
          <w:rFonts w:ascii="Calibri" w:hAnsi="Calibri"/>
          <w:b w:val="0"/>
          <w:color w:val="3A4A28"/>
          <w:sz w:val="20"/>
        </w:rPr>
        <w:t>LNG development timeline and cost overruns — multi-billion-dollar infrastructure projects face construction risk, permitting delays, and potential demand shifts if global LNG markets soften</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16A34A"/>
          <w:sz w:val="16"/>
        </w:rPr>
        <w:t xml:space="preserve"> LOW RISK </w:t>
      </w:r>
    </w:p>
    <w:p>
      <w:pPr>
        <w:spacing w:before="0" w:after="40"/>
      </w:pPr>
      <w:r>
        <w:rPr>
          <w:rFonts w:ascii="Calibri" w:hAnsi="Calibri"/>
          <w:b/>
          <w:color w:val="16A34A"/>
          <w:sz w:val="28"/>
        </w:rPr>
        <w:t>8</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409"/>
            <w:shd w:fill="16A34A" w:val="clear"/>
          </w:tcPr>
          <w:p>
            <w:pPr>
              <w:spacing w:before="0" w:after="0"/>
            </w:pPr>
            <w:r>
              <w:rPr>
                <w:rFonts w:ascii="Calibri" w:hAnsi="Calibri"/>
                <w:b w:val="0"/>
                <w:color w:val="1A2010"/>
                <w:sz w:val="4"/>
              </w:rPr>
            </w:r>
          </w:p>
        </w:tc>
        <w:tc>
          <w:tcPr>
            <w:tcW w:type="dxa" w:w="1102"/>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(7/9): Sempra's core business — regulated electricity transmission and distribution, natural gas delivery, and LNG infrastructure — faces virtually zero direct AI substitution risk [6]. Physical utility infrastructure cannot be digitized, and regulated monopoly franchises in California and Texas provide structural moats against any form of technological displacement. Moreover, AI-driven demand for electricity through data center proliferation is a significant tailwind — Oncor in Texas is particularly well-positioned as data center operators seek reliable power in the ERCOT market [1][7]. The only AI-related risk is potential optimization of distributed energy resources reducing centralized grid dependence over the very long term, but near-term AI actually increases grid demand. AI Opportunity (1/1): Sempra deploys AI for weather forecasting, grid monitoring, predictive maintenance, and infrastructure safety, generating measurable operational improvements across its utility operations [6]. The massive growth in AI data center power demand directly drives rate base growth at Oncor and capital investment opportunities across Sempra's portfolio [7].</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DC2626"/>
          <w:sz w:val="28"/>
        </w:rPr>
        <w:t>-49</w:t>
      </w:r>
      <w:r>
        <w:rPr>
          <w:rFonts w:ascii="Calibri" w:hAnsi="Calibri"/>
          <w:b/>
          <w:color w:val="B8860B"/>
          <w:sz w:val="20"/>
        </w:rPr>
        <w:t xml:space="preserve">    MISALIGNED</w:t>
      </w:r>
    </w:p>
    <w:p>
      <w:pPr>
        <w:spacing w:before="80" w:after="40"/>
      </w:pPr>
      <w:r>
        <w:rPr>
          <w:rFonts w:ascii="Calibri" w:hAnsi="Calibri"/>
          <w:b/>
          <w:color w:val="6E8450"/>
          <w:sz w:val="18"/>
        </w:rPr>
        <w:t xml:space="preserve">Negative: </w:t>
      </w:r>
      <w:r>
        <w:rPr>
          <w:rFonts w:ascii="Calibri" w:hAnsi="Calibri"/>
          <w:b/>
          <w:color w:val="DC2626"/>
          <w:sz w:val="17"/>
        </w:rPr>
        <w:t xml:space="preserve"> LGBT Activism </w:t>
      </w:r>
    </w:p>
    <w:p>
      <w:pPr>
        <w:spacing w:before="80" w:after="40"/>
      </w:pPr>
      <w:r>
        <w:rPr>
          <w:rFonts w:ascii="Calibri" w:hAnsi="Calibri"/>
          <w:b/>
          <w:color w:val="6E8450"/>
          <w:sz w:val="18"/>
        </w:rPr>
        <w:t xml:space="preserve">Positive: </w:t>
      </w:r>
      <w:r>
        <w:rPr>
          <w:rFonts w:ascii="Calibri" w:hAnsi="Calibri"/>
          <w:b/>
          <w:color w:val="16A34A"/>
          <w:sz w:val="17"/>
        </w:rPr>
        <w:t xml:space="preserve"> Air Quality </w:t>
      </w:r>
      <w:r>
        <w:rPr>
          <w:rFonts w:ascii="Calibri" w:hAnsi="Calibri"/>
          <w:b w:val="0"/>
          <w:color w:val="9DAF88"/>
          <w:sz w:val="17"/>
        </w:rPr>
        <w:t xml:space="preserve">  ·  </w:t>
      </w:r>
      <w:r>
        <w:rPr>
          <w:rFonts w:ascii="Calibri" w:hAnsi="Calibri"/>
          <w:b/>
          <w:color w:val="16A34A"/>
          <w:sz w:val="17"/>
        </w:rPr>
        <w:t xml:space="preserve"> Business Resilience </w:t>
      </w:r>
      <w:r>
        <w:rPr>
          <w:rFonts w:ascii="Calibri" w:hAnsi="Calibri"/>
          <w:b w:val="0"/>
          <w:color w:val="9DAF88"/>
          <w:sz w:val="17"/>
        </w:rPr>
        <w:t xml:space="preserve">  ·  </w:t>
      </w:r>
      <w:r>
        <w:rPr>
          <w:rFonts w:ascii="Calibri" w:hAnsi="Calibri"/>
          <w:b/>
          <w:color w:val="16A34A"/>
          <w:sz w:val="17"/>
        </w:rPr>
        <w:t xml:space="preserve"> Customer Privacy </w:t>
      </w:r>
      <w:r>
        <w:rPr>
          <w:rFonts w:ascii="Calibri" w:hAnsi="Calibri"/>
          <w:b w:val="0"/>
          <w:color w:val="9DAF88"/>
          <w:sz w:val="17"/>
        </w:rPr>
        <w:t xml:space="preserve">  ·  </w:t>
      </w:r>
      <w:r>
        <w:rPr>
          <w:rFonts w:ascii="Calibri" w:hAnsi="Calibri"/>
          <w:b/>
          <w:color w:val="16A34A"/>
          <w:sz w:val="17"/>
        </w:rPr>
        <w:t xml:space="preserve"> Customer Welfare </w:t>
      </w:r>
      <w:r>
        <w:rPr>
          <w:rFonts w:ascii="Calibri" w:hAnsi="Calibri"/>
          <w:b w:val="0"/>
          <w:color w:val="9DAF88"/>
          <w:sz w:val="17"/>
        </w:rPr>
        <w:t xml:space="preserve">  ·  </w:t>
      </w:r>
      <w:r>
        <w:rPr>
          <w:rFonts w:ascii="Calibri" w:hAnsi="Calibri"/>
          <w:b/>
          <w:color w:val="16A34A"/>
          <w:sz w:val="17"/>
        </w:rPr>
        <w:t xml:space="preserve"> Employee Wellbeing </w:t>
      </w:r>
      <w:r>
        <w:rPr>
          <w:rFonts w:ascii="Calibri" w:hAnsi="Calibri"/>
          <w:b w:val="0"/>
          <w:color w:val="9DAF88"/>
          <w:sz w:val="17"/>
        </w:rPr>
        <w:t xml:space="preserve">  ·  </w:t>
      </w:r>
      <w:r>
        <w:rPr>
          <w:rFonts w:ascii="Calibri" w:hAnsi="Calibri"/>
          <w:b/>
          <w:color w:val="16A34A"/>
          <w:sz w:val="17"/>
        </w:rPr>
        <w:t xml:space="preserve"> Energy Management </w:t>
      </w:r>
      <w:r>
        <w:rPr>
          <w:rFonts w:ascii="Calibri" w:hAnsi="Calibri"/>
          <w:b w:val="0"/>
          <w:color w:val="9DAF88"/>
          <w:sz w:val="17"/>
        </w:rPr>
        <w:t xml:space="preserve">  ·  </w:t>
      </w:r>
      <w:r>
        <w:rPr>
          <w:rFonts w:ascii="Calibri" w:hAnsi="Calibri"/>
          <w:b/>
          <w:color w:val="16A34A"/>
          <w:sz w:val="17"/>
        </w:rPr>
        <w:t xml:space="preserve"> Environmental Risk Mitigation </w:t>
      </w:r>
      <w:r>
        <w:rPr>
          <w:rFonts w:ascii="Calibri" w:hAnsi="Calibri"/>
          <w:b w:val="0"/>
          <w:color w:val="9DAF88"/>
          <w:sz w:val="17"/>
        </w:rPr>
        <w:t xml:space="preserve">  ·  </w:t>
      </w:r>
      <w:r>
        <w:rPr>
          <w:rFonts w:ascii="Calibri" w:hAnsi="Calibri"/>
          <w:b/>
          <w:color w:val="16A34A"/>
          <w:sz w:val="17"/>
        </w:rPr>
        <w:t xml:space="preserve"> Ethical Labor Practices </w:t>
      </w:r>
      <w:r>
        <w:rPr>
          <w:rFonts w:ascii="Calibri" w:hAnsi="Calibri"/>
          <w:b w:val="0"/>
          <w:color w:val="9DAF88"/>
          <w:sz w:val="17"/>
        </w:rPr>
        <w:t xml:space="preserve">  ·  </w:t>
      </w:r>
      <w:r>
        <w:rPr>
          <w:rFonts w:ascii="Calibri" w:hAnsi="Calibri"/>
          <w:b/>
          <w:color w:val="16A34A"/>
          <w:sz w:val="17"/>
        </w:rPr>
        <w:t xml:space="preserve"> Ethical Supply Chain Management </w:t>
      </w:r>
      <w:r>
        <w:rPr>
          <w:rFonts w:ascii="Calibri" w:hAnsi="Calibri"/>
          <w:b w:val="0"/>
          <w:color w:val="9DAF88"/>
          <w:sz w:val="17"/>
        </w:rPr>
        <w:t xml:space="preserve">  ·  </w:t>
      </w:r>
      <w:r>
        <w:rPr>
          <w:rFonts w:ascii="Calibri" w:hAnsi="Calibri"/>
          <w:b/>
          <w:color w:val="16A34A"/>
          <w:sz w:val="17"/>
        </w:rPr>
        <w:t xml:space="preserve"> GHG Emissions </w:t>
      </w:r>
      <w:r>
        <w:rPr>
          <w:rFonts w:ascii="Calibri" w:hAnsi="Calibri"/>
          <w:b w:val="0"/>
          <w:color w:val="9DAF88"/>
          <w:sz w:val="17"/>
        </w:rPr>
        <w:t xml:space="preserve">  ·  </w:t>
      </w:r>
      <w:r>
        <w:rPr>
          <w:rFonts w:ascii="Calibri" w:hAnsi="Calibri"/>
          <w:b/>
          <w:color w:val="16A34A"/>
          <w:sz w:val="17"/>
        </w:rPr>
        <w:t xml:space="preserve"> Hiring Ethics </w:t>
      </w:r>
      <w:r>
        <w:rPr>
          <w:rFonts w:ascii="Calibri" w:hAnsi="Calibri"/>
          <w:b w:val="0"/>
          <w:color w:val="9DAF88"/>
          <w:sz w:val="17"/>
        </w:rPr>
        <w:t xml:space="preserve">  ·  </w:t>
      </w:r>
      <w:r>
        <w:rPr>
          <w:rFonts w:ascii="Calibri" w:hAnsi="Calibri"/>
          <w:b/>
          <w:color w:val="16A34A"/>
          <w:sz w:val="17"/>
        </w:rPr>
        <w:t xml:space="preserve"> Low Ecological Impact </w:t>
      </w:r>
      <w:r>
        <w:rPr>
          <w:rFonts w:ascii="Calibri" w:hAnsi="Calibri"/>
          <w:b w:val="0"/>
          <w:color w:val="9DAF88"/>
          <w:sz w:val="17"/>
        </w:rPr>
        <w:t xml:space="preserve">  ·  </w:t>
      </w:r>
      <w:r>
        <w:rPr>
          <w:rFonts w:ascii="Calibri" w:hAnsi="Calibri"/>
          <w:b/>
          <w:color w:val="16A34A"/>
          <w:sz w:val="17"/>
        </w:rPr>
        <w:t xml:space="preserve"> Materials Efficiency </w:t>
      </w:r>
      <w:r>
        <w:rPr>
          <w:rFonts w:ascii="Calibri" w:hAnsi="Calibri"/>
          <w:b w:val="0"/>
          <w:color w:val="9DAF88"/>
          <w:sz w:val="17"/>
        </w:rPr>
        <w:t xml:space="preserve">  ·  </w:t>
      </w:r>
      <w:r>
        <w:rPr>
          <w:rFonts w:ascii="Calibri" w:hAnsi="Calibri"/>
          <w:b/>
          <w:color w:val="16A34A"/>
          <w:sz w:val="17"/>
        </w:rPr>
        <w:t xml:space="preserve"> Product Access and Affordability </w:t>
      </w:r>
      <w:r>
        <w:rPr>
          <w:rFonts w:ascii="Calibri" w:hAnsi="Calibri"/>
          <w:b w:val="0"/>
          <w:color w:val="9DAF88"/>
          <w:sz w:val="17"/>
        </w:rPr>
        <w:t xml:space="preserve">  ·  </w:t>
      </w:r>
      <w:r>
        <w:rPr>
          <w:rFonts w:ascii="Calibri" w:hAnsi="Calibri"/>
          <w:b/>
          <w:color w:val="16A34A"/>
          <w:sz w:val="17"/>
        </w:rPr>
        <w:t xml:space="preserve"> Product Safety </w:t>
      </w:r>
      <w:r>
        <w:rPr>
          <w:rFonts w:ascii="Calibri" w:hAnsi="Calibri"/>
          <w:b w:val="0"/>
          <w:color w:val="9DAF88"/>
          <w:sz w:val="17"/>
        </w:rPr>
        <w:t xml:space="preserve">  ·  </w:t>
      </w:r>
      <w:r>
        <w:rPr>
          <w:rFonts w:ascii="Calibri" w:hAnsi="Calibri"/>
          <w:b/>
          <w:color w:val="16A34A"/>
          <w:sz w:val="17"/>
        </w:rPr>
        <w:t xml:space="preserve"> Product Sustainability </w:t>
      </w:r>
      <w:r>
        <w:rPr>
          <w:rFonts w:ascii="Calibri" w:hAnsi="Calibri"/>
          <w:b w:val="0"/>
          <w:color w:val="9DAF88"/>
          <w:sz w:val="17"/>
        </w:rPr>
        <w:t xml:space="preserve">  ·  </w:t>
      </w:r>
      <w:r>
        <w:rPr>
          <w:rFonts w:ascii="Calibri" w:hAnsi="Calibri"/>
          <w:b/>
          <w:color w:val="16A34A"/>
          <w:sz w:val="17"/>
        </w:rPr>
        <w:t xml:space="preserve"> Regulatory Adherence </w:t>
      </w:r>
      <w:r>
        <w:rPr>
          <w:rFonts w:ascii="Calibri" w:hAnsi="Calibri"/>
          <w:b w:val="0"/>
          <w:color w:val="9DAF88"/>
          <w:sz w:val="17"/>
        </w:rPr>
        <w:t xml:space="preserve">  ·  </w:t>
      </w:r>
      <w:r>
        <w:rPr>
          <w:rFonts w:ascii="Calibri" w:hAnsi="Calibri"/>
          <w:b/>
          <w:color w:val="16A34A"/>
          <w:sz w:val="17"/>
        </w:rPr>
        <w:t xml:space="preserve"> Systemic Risk Mitigation </w:t>
      </w:r>
      <w:r>
        <w:rPr>
          <w:rFonts w:ascii="Calibri" w:hAnsi="Calibri"/>
          <w:b w:val="0"/>
          <w:color w:val="9DAF88"/>
          <w:sz w:val="17"/>
        </w:rPr>
        <w:t xml:space="preserve">  ·  </w:t>
      </w:r>
      <w:r>
        <w:rPr>
          <w:rFonts w:ascii="Calibri" w:hAnsi="Calibri"/>
          <w:b/>
          <w:color w:val="16A34A"/>
          <w:sz w:val="17"/>
        </w:rPr>
        <w:t xml:space="preserve"> Waste and Hazmat Management </w:t>
      </w:r>
      <w:r>
        <w:rPr>
          <w:rFonts w:ascii="Calibri" w:hAnsi="Calibri"/>
          <w:b w:val="0"/>
          <w:color w:val="9DAF88"/>
          <w:sz w:val="17"/>
        </w:rPr>
        <w:t xml:space="preserve">  ·  </w:t>
      </w:r>
      <w:r>
        <w:rPr>
          <w:rFonts w:ascii="Calibri" w:hAnsi="Calibri"/>
          <w:b/>
          <w:color w:val="16A34A"/>
          <w:sz w:val="17"/>
        </w:rPr>
        <w:t xml:space="preserve"> Water Conservation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Sempra Q2 2026 Earnings Press Release, July 2026</w:t>
      </w:r>
    </w:p>
    <w:p>
      <w:pPr>
        <w:spacing w:before="20" w:after="20"/>
        <w:ind w:left="170"/>
      </w:pPr>
      <w:r>
        <w:rPr>
          <w:rFonts w:ascii="Calibri" w:hAnsi="Calibri"/>
          <w:b/>
          <w:color w:val="4A6B25"/>
          <w:sz w:val="15"/>
        </w:rPr>
        <w:t xml:space="preserve">2. </w:t>
      </w:r>
      <w:r>
        <w:rPr>
          <w:rFonts w:ascii="Calibri" w:hAnsi="Calibri"/>
          <w:b w:val="0"/>
          <w:color w:val="3A4A28"/>
          <w:sz w:val="17"/>
        </w:rPr>
        <w:t>Sempra Q1 2026 Earnings Release, April 2026</w:t>
      </w:r>
    </w:p>
    <w:p>
      <w:pPr>
        <w:spacing w:before="20" w:after="20"/>
        <w:ind w:left="170"/>
      </w:pPr>
      <w:r>
        <w:rPr>
          <w:rFonts w:ascii="Calibri" w:hAnsi="Calibri"/>
          <w:b/>
          <w:color w:val="4A6B25"/>
          <w:sz w:val="15"/>
        </w:rPr>
        <w:t xml:space="preserve">3. </w:t>
      </w:r>
      <w:r>
        <w:rPr>
          <w:rFonts w:ascii="Calibri" w:hAnsi="Calibri"/>
          <w:b w:val="0"/>
          <w:color w:val="3A4A28"/>
          <w:sz w:val="17"/>
        </w:rPr>
        <w:t>Sempra 2025 Annual Report and Corporate Profile</w:t>
      </w:r>
    </w:p>
    <w:p>
      <w:pPr>
        <w:spacing w:before="20" w:after="20"/>
        <w:ind w:left="170"/>
      </w:pPr>
      <w:r>
        <w:rPr>
          <w:rFonts w:ascii="Calibri" w:hAnsi="Calibri"/>
          <w:b/>
          <w:color w:val="4A6B25"/>
          <w:sz w:val="15"/>
        </w:rPr>
        <w:t xml:space="preserve">4. </w:t>
      </w:r>
      <w:r>
        <w:rPr>
          <w:rFonts w:ascii="Calibri" w:hAnsi="Calibri"/>
          <w:b w:val="0"/>
          <w:color w:val="3A4A28"/>
          <w:sz w:val="17"/>
        </w:rPr>
        <w:t>StockAnalysis.com — SRE key statistics and valuation metrics, accessed September 2026</w:t>
      </w:r>
    </w:p>
    <w:p>
      <w:pPr>
        <w:spacing w:before="20" w:after="20"/>
        <w:ind w:left="170"/>
      </w:pPr>
      <w:r>
        <w:rPr>
          <w:rFonts w:ascii="Calibri" w:hAnsi="Calibri"/>
          <w:b/>
          <w:color w:val="4A6B25"/>
          <w:sz w:val="15"/>
        </w:rPr>
        <w:t xml:space="preserve">5. </w:t>
      </w:r>
      <w:r>
        <w:rPr>
          <w:rFonts w:ascii="Calibri" w:hAnsi="Calibri"/>
          <w:b w:val="0"/>
          <w:color w:val="3A4A28"/>
          <w:sz w:val="17"/>
        </w:rPr>
        <w:t>Glassdoor — Sempra Employee Reviews (4.3/5 across 213 reviews), accessed September 2026</w:t>
      </w:r>
    </w:p>
    <w:p>
      <w:pPr>
        <w:spacing w:before="20" w:after="20"/>
        <w:ind w:left="170"/>
      </w:pPr>
      <w:r>
        <w:rPr>
          <w:rFonts w:ascii="Calibri" w:hAnsi="Calibri"/>
          <w:b/>
          <w:color w:val="4A6B25"/>
          <w:sz w:val="15"/>
        </w:rPr>
        <w:t xml:space="preserve">6. </w:t>
      </w:r>
      <w:r>
        <w:rPr>
          <w:rFonts w:ascii="Calibri" w:hAnsi="Calibri"/>
          <w:b w:val="0"/>
          <w:color w:val="3A4A28"/>
          <w:sz w:val="17"/>
        </w:rPr>
        <w:t>Sempra Innovation, ESG, and Sustainability Reports, accessed September 2026</w:t>
      </w:r>
    </w:p>
    <w:p>
      <w:pPr>
        <w:spacing w:before="20" w:after="20"/>
        <w:ind w:left="170"/>
      </w:pPr>
      <w:r>
        <w:rPr>
          <w:rFonts w:ascii="Calibri" w:hAnsi="Calibri"/>
          <w:b/>
          <w:color w:val="4A6B25"/>
          <w:sz w:val="15"/>
        </w:rPr>
        <w:t xml:space="preserve">7. </w:t>
      </w:r>
      <w:r>
        <w:rPr>
          <w:rFonts w:ascii="Calibri" w:hAnsi="Calibri"/>
          <w:b w:val="0"/>
          <w:color w:val="3A4A28"/>
          <w:sz w:val="17"/>
        </w:rPr>
        <w:t>Sempra $65B Capital Plan Announcement and Investor Day Presentation, June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