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SRI</w:t>
      </w:r>
      <w:r>
        <w:rPr>
          <w:rFonts w:ascii="Calibri" w:hAnsi="Calibri"/>
          <w:b/>
          <w:color w:val="1A2010"/>
          <w:sz w:val="40"/>
        </w:rPr>
        <w:t xml:space="preserve">  Stoneridge, Inc.</w:t>
      </w:r>
    </w:p>
    <w:p>
      <w:pPr>
        <w:spacing w:after="120"/>
      </w:pPr>
      <w:r>
        <w:rPr>
          <w:rFonts w:ascii="Calibri" w:hAnsi="Calibri"/>
          <w:b/>
          <w:color w:val="6E8450"/>
          <w:sz w:val="18"/>
        </w:rPr>
        <w:t>GROWTH SLEEVE · 2026-10-13 · Inspire: 59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Auto Parts · NYSE · United States</w:t>
      </w:r>
    </w:p>
    <w:p>
      <w:pPr>
        <w:spacing w:after="80"/>
      </w:pPr>
      <w:r>
        <w:rPr>
          <w:rFonts w:ascii="Calibri" w:hAnsi="Calibri"/>
          <w:b w:val="0"/>
          <w:color w:val="3A4A28"/>
          <w:sz w:val="20"/>
        </w:rPr>
        <w:t>Stoneridge designs and manufactures electrical and electronic systems, components, and modules for the automotive, commercial vehicle, off-highway, and agricultural vehicle markets. Its flagship product is MirrorEye, a camera monitor system replacing conventional side mirrors on commercial vehicles, which achieved record Q2 2026 revenue of $37M and surpassed 150,000 units produced globally. The company divested its Control Devices segment to focus on technology-driven products, with 2026 continuing operations revenue guided to $645-670M. Headquartered in Novi, Michigan, with new CEO Natalia Noblet taking the helm in April 2026.</w:t>
      </w:r>
    </w:p>
    <w:p>
      <w:r>
        <w:rPr>
          <w:rFonts w:ascii="Calibri" w:hAnsi="Calibri"/>
          <w:b/>
          <w:color w:val="6E8450"/>
          <w:sz w:val="18"/>
        </w:rPr>
        <w:t>4,200 Employees · https://www.stoneridge.com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MirrorEye camera monitor system represents a significant product innovation replacing traditional side mirrors on commercial vehicles with camera feeds displayed on in-cabin monitors, achieving 150,000+ cumulative units produced and tracking toward $160M+ in 2026 revenue with 45% YoY growth [1][2]. The divestiture of Control Devices to focus entirely on electronics was a meaningful strategic pivot. However, this is essentially one successful product launch, not multiple transformative pivots. AI Deployment (0/2): No AI-powered products shipping or AI-driven cost savings reported; MirrorEye is a vision/camera system, not an AI product, and the company has not articulated an AI strategy in recent earnings materials [1]. Market Share (1/2): Stoneridge is a meaningful and growing player in the camera monitor system niche for commercial vehicles with strong European OEM adoption and ramping North American programs, but does not hold dominant category-defining market share and faces emerging competition from Continental and Ficosa [2]. Product Pipeline (1/2): MirrorEye expansion into bus and coach markets (2026 revenue expected to double 2024 levels), new North American OEM program ramp-ups, and management targeting $715M+ revenue by 2027 with $35M+ incremental growth from existing OEM take rate increases [1][2]. R&amp;D Intensity (1/1): As a technology-focused auto parts company transitioning from legacy components to camera/electronics systems, Stoneridge invests meaningfully in R&amp;D — the recent appointment of a Chief Technology Officer signals commitment to technology leadership above sector average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Stoneridge's mission to 'develop safe and efficient electronic systems and technologies that Move Mobility Forward' is clear and identifies the company's domain and aspiration, but it is not distinctive enough to differentiate from peers in the auto technology space [3]. It reads as a competent positioning statement rather than a transformative purpose that inspires sacrifice. Community Impact (0/2): No evidence of significant charitable programs, foundation activity, or community investment was found in public materials, SEC filings, or press releases [3]. Employee Retention (0/2): Glassdoor ratings of 3.3 for culture/values and 3.1 for career opportunities are below average, with reviews flagging leadership concerns. The board praised retiring CEO Zizelman for fostering a 'culture of transparency, collaboration, and respect,' and internal promotion of Noblet suggests organizational development, but no specific retention or tenure data is available [2][3]. Insider Buying (0/2): No evidence of meaningful net insider buying by executives was identified in recent filings.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AT RISK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148,217 shares at $6.27 yields daily dollar volume of approximately $929K, below the $1,000,000 minimum threshold — Infrastructure score is automatically set to 0 regardless of other metrics [4]. Underlying fundamentals are severely challenged: ROE of -50.65% reflects persistent heavy losses, profit margin of -13.32% indicates the business is deeply unprofitable, and D/E has deteriorated to 105.19% from 66% just months ago. Revenue growth YoY of 15.1% driven by record MirrorEye sales is the sole bright spot, but FY2026 adjusted EBITDA guidance of only $20M-$25M on $645M-$670M revenue represents razor-thin margins of 3-4% [1][4]. The stock trades at $6.27 against a 52-week high of $9.71, reflecting eroding market confidence.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Stoneridge shows elements of strategic purposefulness through its divestiture of Control Devices and concentration on technology-driven electronics products like MirrorEye, and the orderly CEO succession from Zizelman to Noblet suggests organizational maturity. However, the company lacks a deeply articulated Just Cause beyond 'Move Mobility Forward,' persistent unprofitability suggests reactive restructuring rather than purpose-driven transformation, and Glassdoor reviews flag cultural challenges beneath the surface. The company is playing to survive its turnaround, not playing to keep playing in Sinek's framework.</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Stoneridge's 'Move Mobility Forward' purpose exists but reads as marketing rather than a deeply-held Just Cause in Sinek's framework. The statement is interchangeable with many auto technology companies and does not describe a future state so appealing that people would sacrifice to advance it [3]. Leadership references technology and operational excellence but does not invoke a higher purpose that shapes strategic decisions — the divestitures and restructuring appear driven by financial necessity rather than cause alignment. New CEO Noblet has been in role since April 2026, too early to evaluate whether she will articulate or live a deeper purpose.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board described retiring CEO Zizelman's tenure as fostering a 'culture of transparency, collaboration, and respect' and a 'performance-based culture,' and the internal promotion of Noblet from Electronics segment president suggests leadership development and organizational stability [2]. However, Glassdoor ratings of 3.3 for culture/values are below average, with employee reviews flagging concerns about leadership decisions. No specific voluntary turnover data or average tenure figures distinguish Stoneridge from industry norms [3].</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was found in Stoneridge's public communications. Management commentary in earnings calls emphasizes MirrorEye market adoption, OEM wins, and competitive positioning against traditional mirror manufacturers rather than learning from rivals' strengths or using competitive pressure for self-improvement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Stoneridge has evolved from traditional auto electrical components toward technology-driven camera monitor systems, divesting the Control Devices segment to concentrate on MirrorEye, telematics, and driver information systems [1][2]. This represents meaningful strategic adaptation and willingness to abandon legacy business lines. However, the transformation appears driven more by competitive necessity and financial pressure than by a proactive cause-driven pivot, and the changes have been incremental rather than a single transformative bet that redefined the company.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Stoneridge invested heavily in MirrorEye development and commercialization despite sustained unprofitability, accepting multi-year losses to build a technology-driven growth platform. The divestiture of Control Devices required walking away from established legacy revenue to concentrate resources on higher-growth electronics [1][2]. However, the pattern is mixed — these decisions could be characterized as necessary survival moves rather than courageous long-term bets, and the company has yet to translate innovation investment into profitability.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Stoneridge's bull case centers on MirrorEye, a camera monitor system replacing traditional side mirrors on commercial vehicles that achieved record Q2 2026 revenue of $37M and surpassed 150,000 cumulative units produced [1][2]. Q2 2026 continuing operations revenue of $181.4M (+15.1% YoY) and FY2026 guidance of $645M-$670M with $20M-$25M adjusted EBITDA suggest the business is approaching breakeven. MirrorEye is tracking toward $160M+ in 2026 revenue with 45% YoY growth as European regulatory mandates and North American OEM program ramp-ups expand the addressable market. Management targets $715M+ in 2027 revenue with at least $35M incremental growth from existing OEM take rate increases, and bus/coach segment revenue is expected to double 2024 levels [1].</w:t>
      </w:r>
    </w:p>
    <w:p>
      <w:pPr>
        <w:spacing w:after="120"/>
      </w:pPr>
      <w:r>
        <w:rPr>
          <w:rFonts w:ascii="Calibri" w:hAnsi="Calibri"/>
          <w:b w:val="0"/>
          <w:color w:val="3A4A28"/>
          <w:sz w:val="20"/>
        </w:rPr>
        <w:t>The bear case is severe and has worsened materially since August. D/E has deteriorated from 66% to 105.19%, ROE has deepened from -11.2% to -50.65%, and profit margin has widened to -13.32% — reflecting a company hemorrhaging cash through a turnaround with no guarantee of sustained profitability [4]. Daily dollar volume has fallen to approximately $929K, failing the IOWN $1M liquidity floor, as average volume dropped from 241,590 to 148,217 shares. The stock trades at $6.27 versus a 52-week high of $9.71, and with a $179M market cap, SRI is a micro-cap with virtually no institutional support. New CEO Noblet (April 2026) faces execution risk during a critical transformation period, and adjusted EBITDA margins of 3-4% leave no buffer against supply chain disruptions, tariff headwinds, or commercial vehicle cycle downturns. MirrorEye concentration risk is high — if OEM adoption slows or competitors accelerate their CMS offerings, the entire investment thesis collapses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MirrorEye revenue targeting $160M+ in 2026 (+45% YoY) with record Q2 revenue of $37M, bus/coach market expansion doubling 2024 levels, and new North American OEM program ramp-ups potentially pulling forward the path to profitability [1][2]</w:t>
      </w:r>
    </w:p>
    <w:p>
      <w:pPr>
        <w:spacing w:before="40" w:after="40"/>
        <w:ind w:left="283"/>
      </w:pPr>
      <w:r>
        <w:rPr>
          <w:rFonts w:ascii="Calibri" w:hAnsi="Calibri"/>
          <w:b/>
          <w:color w:val="4A6B25"/>
          <w:sz w:val="20"/>
        </w:rPr>
        <w:t xml:space="preserve">2. </w:t>
      </w:r>
      <w:r>
        <w:rPr>
          <w:rFonts w:ascii="Calibri" w:hAnsi="Calibri"/>
          <w:b w:val="0"/>
          <w:color w:val="3A4A28"/>
          <w:sz w:val="20"/>
        </w:rPr>
        <w:t>FY2027 revenue target of $715M+ with $35M+ incremental growth from existing OEM take rate increases, suggesting improving operating leverage as MirrorEye approaches 25%+ of total revenue mix [1]</w:t>
      </w:r>
    </w:p>
    <w:p>
      <w:pPr>
        <w:spacing w:before="40" w:after="40"/>
        <w:ind w:left="283"/>
      </w:pPr>
      <w:r>
        <w:rPr>
          <w:rFonts w:ascii="Calibri" w:hAnsi="Calibri"/>
          <w:b/>
          <w:color w:val="4A6B25"/>
          <w:sz w:val="20"/>
        </w:rPr>
        <w:t xml:space="preserve">3. </w:t>
      </w:r>
      <w:r>
        <w:rPr>
          <w:rFonts w:ascii="Calibri" w:hAnsi="Calibri"/>
          <w:b w:val="0"/>
          <w:color w:val="3A4A28"/>
          <w:sz w:val="20"/>
        </w:rPr>
        <w:t>European regulatory momentum (UN R46) favoring camera monitor systems over traditional mirrors, with potential North American regulatory changes expanding the addressable market for MirrorEye retrofit and OEM applications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Deteriorating financial profile with D/E at 105.19%, ROE of -50.65%, and profit margin of -13.32% — the company has not demonstrated the ability to translate MirrorEye growth into bottom-line profitability, and fundamentals have materially worsened since mid-2026 [4]</w:t>
      </w:r>
    </w:p>
    <w:p>
      <w:pPr>
        <w:spacing w:before="40" w:after="40"/>
        <w:ind w:left="283"/>
      </w:pPr>
      <w:r>
        <w:rPr>
          <w:rFonts w:ascii="Calibri" w:hAnsi="Calibri"/>
          <w:b/>
          <w:color w:val="4A6B25"/>
          <w:sz w:val="20"/>
        </w:rPr>
        <w:t xml:space="preserve">2. </w:t>
      </w:r>
      <w:r>
        <w:rPr>
          <w:rFonts w:ascii="Calibri" w:hAnsi="Calibri"/>
          <w:b w:val="0"/>
          <w:color w:val="3A4A28"/>
          <w:sz w:val="20"/>
        </w:rPr>
        <w:t>Liquidity crisis at $179M market cap with daily dollar volume of only $929K — below the $1M IOWN floor, the stock is effectively untradeable at institutional scale, limiting shareholder base and creating vulnerability to forced selling in downturns [4]</w:t>
      </w:r>
    </w:p>
    <w:p>
      <w:pPr>
        <w:spacing w:before="40" w:after="40"/>
        <w:ind w:left="283"/>
      </w:pPr>
      <w:r>
        <w:rPr>
          <w:rFonts w:ascii="Calibri" w:hAnsi="Calibri"/>
          <w:b/>
          <w:color w:val="4A6B25"/>
          <w:sz w:val="20"/>
        </w:rPr>
        <w:t xml:space="preserve">3. </w:t>
      </w:r>
      <w:r>
        <w:rPr>
          <w:rFonts w:ascii="Calibri" w:hAnsi="Calibri"/>
          <w:b w:val="0"/>
          <w:color w:val="3A4A28"/>
          <w:sz w:val="20"/>
        </w:rPr>
        <w:t>MirrorEye concentration risk and emerging competition from Continental, Ficosa, and larger Tier 1 suppliers with deeper resources who could integrate CMS into broader ADAS platforms, potentially commoditizing Stoneridge's core product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Stoneridge's core business — physical camera monitor systems, electronic modules, and electrical components installed on commercial vehicles — has strong structural protection from AI disruption. MirrorEye requires manufactured camera hardware, in-cabin displays, and OEM-integrated wiring harnesses that AI software cannot substitute [1][2]. Vehicle safety regulations (UN R46, FMVSS) mandate physical compliance testing, creating regulatory moats. OEM qualification cycles of 2-3 years and installed-base switching costs add further protection. Scored PROTECTED rather than IMMUNE because software-defined vehicle architectures could eventually commoditize some electronic module functions, and larger Tier 1 suppliers with deeper AI/software capabilities could integrate CMS functionality into broader ADAS platforms. AI Opportunity (0/1): Stoneridge does not generate meaningful AI-specific revenue. MirrorEye incorporates machine vision hardware but the company does not market AI products and has not reported AI-attributable revenue or cost savings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Stoneridge Q2 2026 Earnings Release — Revenue $181.4M from Continuing Operations (+15.1% YoY), MirrorEye Record $37M, Net Loss $5.3M, Adjusted EBITDA $5.5M, FY2026 Guidance $645M-$670M Revenue, August 2026</w:t>
      </w:r>
    </w:p>
    <w:p>
      <w:pPr>
        <w:spacing w:before="20" w:after="20"/>
        <w:ind w:left="170"/>
      </w:pPr>
      <w:r>
        <w:rPr>
          <w:rFonts w:ascii="Calibri" w:hAnsi="Calibri"/>
          <w:b/>
          <w:color w:val="4A6B25"/>
          <w:sz w:val="15"/>
        </w:rPr>
        <w:t xml:space="preserve">2. </w:t>
      </w:r>
      <w:r>
        <w:rPr>
          <w:rFonts w:ascii="Calibri" w:hAnsi="Calibri"/>
          <w:b w:val="0"/>
          <w:color w:val="3A4A28"/>
          <w:sz w:val="17"/>
        </w:rPr>
        <w:t>Stoneridge CEO Succession and MirrorEye Milestones — Jim Zizelman Retirement, Natalia Noblet Appointed CEO April 2026, 150,000+ MirrorEye Systems Produced, CTO Appointment, February-March 2026</w:t>
      </w:r>
    </w:p>
    <w:p>
      <w:pPr>
        <w:spacing w:before="20" w:after="20"/>
        <w:ind w:left="170"/>
      </w:pPr>
      <w:r>
        <w:rPr>
          <w:rFonts w:ascii="Calibri" w:hAnsi="Calibri"/>
          <w:b/>
          <w:color w:val="4A6B25"/>
          <w:sz w:val="15"/>
        </w:rPr>
        <w:t xml:space="preserve">3. </w:t>
      </w:r>
      <w:r>
        <w:rPr>
          <w:rFonts w:ascii="Calibri" w:hAnsi="Calibri"/>
          <w:b w:val="0"/>
          <w:color w:val="3A4A28"/>
          <w:sz w:val="17"/>
        </w:rPr>
        <w:t>Stoneridge Mission Statement ('Move Mobility Forward'), Core Values, Glassdoor Reviews (3.3 Culture/Values, 3.1 Career Opportunities), SEC 10-K FY2025 ESG Disclosures — stoneridge.com, Glassdoor, SEC.gov</w:t>
      </w:r>
    </w:p>
    <w:p>
      <w:pPr>
        <w:spacing w:before="20" w:after="20"/>
        <w:ind w:left="170"/>
      </w:pPr>
      <w:r>
        <w:rPr>
          <w:rFonts w:ascii="Calibri" w:hAnsi="Calibri"/>
          <w:b/>
          <w:color w:val="4A6B25"/>
          <w:sz w:val="15"/>
        </w:rPr>
        <w:t xml:space="preserve">4. </w:t>
      </w:r>
      <w:r>
        <w:rPr>
          <w:rFonts w:ascii="Calibri" w:hAnsi="Calibri"/>
          <w:b w:val="0"/>
          <w:color w:val="3A4A28"/>
          <w:sz w:val="17"/>
        </w:rPr>
        <w:t>Yahoo Finance — SRI Key Statistics: Stock Price $6.27, D/E 105.19%, ROE -50.65%, Profit Margin -13.32%, Avg Volume 148,217, PEG 0.26, 52W Range $4.60-$9.71,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