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SRXH</w:t>
      </w:r>
      <w:r>
        <w:rPr>
          <w:rFonts w:ascii="Calibri" w:hAnsi="Calibri"/>
          <w:b/>
          <w:color w:val="1A2010"/>
          <w:sz w:val="40"/>
        </w:rPr>
        <w:t xml:space="preserve">  SRX Global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SRX Global (formerly SRX Health Solutions) completed its acquisition of EMJ Crypto Technologies on June 18, 2026 and rebranded as an AI-driven holding platform investing in operating companies and technology-enabled assets. Headquartered in North Palm Beach, Florida; financial data is sparse and no operating revenue figures were available [1].</w:t>
      </w:r>
    </w:p>
    <w:p>
      <w:r>
        <w:rPr>
          <w:rFonts w:ascii="Calibri" w:hAnsi="Calibri"/>
          <w:b/>
          <w:color w:val="6E8450"/>
          <w:sz w:val="18"/>
        </w:rPr>
        <w:t>https://www.srxglobalinc.com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strategic pivot via the EMJX acquisition in June 2026, with no demonstrated results yet [1]. AI Deployment (0/2): an 'AI strategy' adopted but no shipped products or savings found. Market Share (0/2): none. Pipeline (0/2): no dated products. R&amp;D (0/1): none.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investment-platform language about long-term shareholder value through high-conviction operating companies [1]. Community (0/2), Retention (0/2) and Insider Buying (0/2): no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Almost all metrics are unavailable (revenue growth, ROE, D/E, forward P/E null); profit margin of 0.0% scores 0, so the available-metric score is 0. Daily dollar volume of about $6.3M passes the liquidity floor, but there is insufficient data to credit infrastructure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SRX Global has just reinvented itself as an AI-driven holding platform, and there is no track record under the new strategy. The cause is shareholder-value framed and unvalidated, and multiple identity changes suggest a finite, opportunistic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stated aim is long-term shareholder value through investments; no vision of a better future state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culture data and a recent wholesale strategic and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abandoned its prior health and consumer business for an AI and crypto-oriented holding platform, though driven by opportunism rather than a clear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principled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SRX Global at $1.61 and a $32.6M market cap is a micro-cap that completed the EMJX acquisition on June 18, 2026 and repositioned as an AI-driven holding platform [1]. Upside is purely optionality on capital allocation and the AI and technology narrative.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opacity: no revenue growth, ROE or leverage data are available, profit margin is 0.0%, and the platform has no operating track record under the new strategy. Micro-cap size, thin recent trading (450K recent volume vs 3.9M average), and a rapid rebrand heighten dilution and governance risk. Scores are limited by sparse data.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Disclosure of acquired EMJX operating results and first audited financials under the new structure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Accretive capital allocation into high-conviction operating assets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Reporting of concrete AI deployment or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Extremely limited financial disclosure and unclear business model after rebrand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Micro-cap liquidity and dilution risk from share issuances tied to the EMJX deal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drift: repeated pivots without proven execution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the business model is unclear after rebranding from a health and food-adjacent company to an AI-driven holding platform, so exposure is hard to assess; a crypto and AI-themed holding company with no demonstrated moat faces substitution risk and has no analyst coverage on AI impact [1]. AI Opportunity (0/1): no AI revenue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SRX Global company information, srxglobalinc.com,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StockTitan 8-K: SRX Global closes EMJX acquisition, adopts AI strategy, June 2026; GuruFocus rebrand announcement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SRXH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