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SSL</w:t>
      </w:r>
      <w:r>
        <w:rPr>
          <w:rFonts w:ascii="Calibri" w:hAnsi="Calibri"/>
          <w:b/>
          <w:color w:val="1A2010"/>
          <w:sz w:val="40"/>
        </w:rPr>
        <w:t xml:space="preserve">  Sasol Limited</w:t>
      </w:r>
    </w:p>
    <w:p>
      <w:pPr>
        <w:spacing w:after="120"/>
      </w:pPr>
      <w:r>
        <w:rPr>
          <w:rFonts w:ascii="Calibri" w:hAnsi="Calibri"/>
          <w:b/>
          <w:color w:val="6E8450"/>
          <w:sz w:val="18"/>
        </w:rPr>
        <w:t>GROWTH SLEEVE · 2026-09-09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Diversified Chemicals · NYSE · South Africa</w:t>
      </w:r>
    </w:p>
    <w:p>
      <w:pPr>
        <w:spacing w:after="80"/>
      </w:pPr>
      <w:r>
        <w:rPr>
          <w:rFonts w:ascii="Calibri" w:hAnsi="Calibri"/>
          <w:b w:val="0"/>
          <w:color w:val="3A4A28"/>
          <w:sz w:val="20"/>
        </w:rPr>
        <w:t>Sasol Limited is an integrated chemicals and energy company based in South Africa that develops and commercializes technologies including its proprietary Fischer-Tropsch process for converting gas and coal into liquid fuels and chemicals. Sasol operates across the hydrocarbon value chain with operations in South Africa (Secunda, Sasolburg), Mozambique, and the United States (Lake Charles, Louisiana). FY2026 (ended June 30) delivered turnover up 9% to R272.1B, adjusted EBITDA up 17% to R61B, EBIT up 37% to R25.7B, and basic EPS up 79% to R18.99. Net debt was reduced 11% to $3.3B. Secunda achieved a five-year production high of 7.26 million tonnes.</w:t>
      </w:r>
    </w:p>
    <w:p>
      <w:r>
        <w:rPr>
          <w:rFonts w:ascii="Calibri" w:hAnsi="Calibri"/>
          <w:b/>
          <w:color w:val="6E8450"/>
          <w:sz w:val="18"/>
        </w:rPr>
        <w:t>27,411 Employees · https://www.sasol.com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Sasol delivered stronger FY2026 results with turnover up 9%, EBITDA up 17%, and Secunda achieving a five-year production high of 7.26 million tonnes [1]. The South African oil breakeven was reduced to $49 per barrel, demonstrating operational efficiency gains. However, this is operational optimization of a 70-year-old Fischer-Tropsch technology platform, not transformative innovation. The Lake Charles project ($12.8B final cost vs $8.9B original budget) remains a cautionary tale of execution risk [1]. AI Deployment (1/2): Sasol appointed Sne Dlamini as Chief Information and Digital Officer in June 2026 and has identified 10 generative AI use cases under the CIO's exploration program [2]. However, no AI-driven revenue or quantified operational savings have been reported to date — digital transformation remains aspirational. Market Share (1/2): Sasol is the dominant synthetic fuels producer in South Africa and a meaningful global chemicals player, with International Chemicals generating $604M adjusted EBITDA in FY2026 [1]. However, it competes against much larger diversified chemical companies (BASF, Dow, LyondellBasell) globally and lacks category leadership in any major international market. Product Pipeline (0/2): Green hydrogen ambitions and sustainable aviation fuel discussions remain without concrete product launch timelines or committed revenue visibility. R&amp;D Intensity (0/1): R&amp;D spending as a percentage of revenue is below the chemicals industry average, with reliance on the legacy Fischer-Tropsch platform.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Sasol's stated purpose is 'Innovating for a better world,' supported by values of safety, resilience, inclusivity, accountability, and caring [2]. The purpose is clear but not deeply distinctive, and faces a massive credibility gap: Sasol's Secunda plant is the world's single largest point-source emitter of greenhouse gases at approximately 60 million tonnes CO2e annually, with environmental groups labeling the company a 'carbon criminal' [3]. The green hydrogen and 30% GHG reduction targets by 2030 show forward intent, but the company has a documented 20-year record of failing to meet emissions targets [3]. Community Impact (0/2): The environmental impact on surrounding communities is severe — Secunda released 112,000 tonnes of SO2 along with large amounts of H2S and other harmful gases in 2024, causing documented health impacts in local communities [3]. Global institutional investors (including Old Mutual and Ninety One) have openly criticized Sasol's emissions reduction timeline. Community development programs exist but are overwhelmed by the scale of environmental damage. Employee Retention (1/2): New CEO Simon Baloyi (appointed April 2024) represents a generational leadership transition with deep engineering expertise. The 'Licence to Lead' organizational programme and five-year management tenure suggest stability among 27,411 employees [2]. Insider Buying (0/2): No insider buying identified. EVP Sarushen Pillay sold shares in May 2026, indicating net negative insider sentiment.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Sasol's FY2026 results showed significant improvement with turnover up 9% to R272.1B and adjusted EBITDA up 17% to R61B, driven by Secunda's five-year production high and International Chemicals EBITDA of $604M [1]. The balance sheet is manageable at D/E of 70% (exactly at target), and net debt was reduced 11% to $3.3B, tracking toward the sub-$3B target linked to dividend resumption [1]. The standout metric is the forward P/E of 4.46, reflecting analyst expectations of substantial earnings power in a normalized commodity environment [4]. However, GAAP profit margin of just 0.97% and ROE of 2.47% remain deeply depressed by heavy depreciation, interest expense, and the legacy of impairments [4]. Revenue growth 5yr CAGR of approximately 2% reflects the volatility of commodity-driven businesses with ZAR/USD translation effects. The stock clears the liquidity floor with daily trading value of ~$9.6M, though volume of 767K shares is modest.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Sasol operates with a largely finite mindset, focused on near-term operational recovery and deleveraging rather than a transcendent purpose. FY2026 results demonstrate strong operational execution (Secunda production five-year high, net debt down 11%), but the company's 20-year record of failing to meet emissions reduction targets and the environmental devastation around Secunda reveal a persistent gap between stated purpose and actual impact [1][3]. New CEO Simon Baloyi represents generational change and the green hydrogen vision offers a potential just cause for the future, but the company remains fundamentally anchored to fossil fuel economics.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Sasol's purpose 'Innovating for a better world' faces a profound credibility challenge — the Secunda plant emits approximately 60 million tonnes CO2e annually as the world's largest single-site GHG emitter, and environmental groups have labeled the company a 'carbon criminal' [3]. The green hydrogen ambition and 30% GHG reduction target by 2030 show forward intent, but the company has a documented 20-year record of failing to meet emissions targets. The cause remains aspirational rather than lived — until Sasol demonstrates sustained emissions reduction, the purpose statement reads as corporate aspiration rather than genuine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Simon Baloyi, appointed April 2024, brings deep engineering expertise and represents a new generation of leadership [2]. The 'Licence to Lead' program and culture transformation journey emphasizing inclusivity, high performance, and radical candour suggest organizational intentionality around trust-building. The FY2026 operational performance (Secunda five-year production high, South African oil breakeven at $49/barrel) suggests effective operational collaboration across 27,411 employees. However, the environmental controversies create tensions between the company and surrounding communities that reflect on internal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Sasol acknowledging competitors' strengths or using competitive pressure as motivation for self-improvement. The company's competitive positioning is anchored to its unique Fischer-Tropsch technology niche rather than learning from rivals like BASF, Dow, Shell, or TotalEnergies in energy transition execution. The green hydrogen ambition suggests awareness of the competitive landscape but has not yet driven meaningful strategic adaptation.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Sasol has made incremental adaptations over its 75-year history — evolving from a coal-focused South African company to a more diversified energy and chemicals company with global operations including the US Lake Charles facility [1]. The green hydrogen and sustainable aviation fuel ambitions represent potential future pivots. However, no transformative pivot has been executed — the core Fischer-Tropsch technology has been the backbone for over 70 years, and FY2026's success (production five-year high) demonstrates doubling down on the existing model rather than existential reimagining.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Sasol has set a 30% GHG reduction target by 2030, but has a 20-year record of failing to meet emissions targets, undermining the credibility of long-term environmental commitments [3]. The decision to suspend dividends and prioritize deleveraging (net debt reduced 11% to $3.3B, targeting sub-$3B) shows fiscal discipline but is driven by financial necessity, not strategic courage [1]. The Lake Charles expansion represented a bold bet on US operations, though its $12.8B final cost (vs $8.9B budget) demonstrates the execution risks of courageous moves. New CEO Baloyi has an opportunity to demonstrate genuine courage on environmental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Sasol trades at an exceptionally low forward P/E of 4.46 with an estimated PEG of 0.75, offering deep value exposure to a potential commodity and earnings recovery [4]. FY2026 results demonstrated significant operational improvement: turnover up 9% to R272.1B, adjusted EBITDA up 17% to R61B, EBIT up 37%, basic EPS up 79% to R18.99, and Secunda achieved a five-year production high of 7.26 million tonnes with the South African oil breakeven reduced to $49/barrel [1]. Net debt was reduced 11% to $3.3B, tracking toward the sub-$3B threshold linked to dividend resumption in FY2027-2028. International Chemicals generated $604M adjusted EBITDA with improved commercial execution [1]. The D/E of 70% is manageable, and the Fischer-Tropsch technology platform remains globally unique, providing exposure to synthetic fuels and chemicals from multiple feedstocks.</w:t>
      </w:r>
    </w:p>
    <w:p>
      <w:pPr>
        <w:spacing w:after="120"/>
      </w:pPr>
      <w:r>
        <w:rPr>
          <w:rFonts w:ascii="Calibri" w:hAnsi="Calibri"/>
          <w:b w:val="0"/>
          <w:color w:val="3A4A28"/>
          <w:sz w:val="20"/>
        </w:rPr>
        <w:t>The bear case is dominated by environmental and structural concerns. Sasol operates the world's single largest point-source GHG emitter (Secunda, ~60M tonnes CO2e annually) and has a documented 20-year record of failing to meet emissions reduction targets [3]. Global institutional investors have openly criticized the company's decarbonization timeline, and environmental groups label it a 'carbon criminal.' The Secunda plant released 112,000 tonnes of SO2 in 2024, causing documented health impacts in surrounding communities [3]. GAAP profit margin of 0.97% and ROE of 2.47% reflect a business struggling to generate adequate returns on capital even in a year of improving operations [4]. Dividends remain suspended, and the company continues to carry $6.67B in total debt. The stock's commodity/currency triple exposure (Brent crude, chemicals prices, ZAR/USD) creates unhedgeable macro risk. South African political, regulatory, and energy infrastructure risks (load-shedding disruptions, potential carbon taxes) add further uncertainty. The Inspire Impact Score of 0 (MIXED) reflects the ESG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resumption once net debt drops below $3B (currently $3.3B, targeted FY2027-2028) could attract income investors and catalyze significant re-rating from the 4.46x forward PE [1]</w:t>
      </w:r>
    </w:p>
    <w:p>
      <w:pPr>
        <w:spacing w:before="40" w:after="40"/>
        <w:ind w:left="283"/>
      </w:pPr>
      <w:r>
        <w:rPr>
          <w:rFonts w:ascii="Calibri" w:hAnsi="Calibri"/>
          <w:b/>
          <w:color w:val="4A6B25"/>
          <w:sz w:val="20"/>
        </w:rPr>
        <w:t xml:space="preserve">2. </w:t>
      </w:r>
      <w:r>
        <w:rPr>
          <w:rFonts w:ascii="Calibri" w:hAnsi="Calibri"/>
          <w:b w:val="0"/>
          <w:color w:val="3A4A28"/>
          <w:sz w:val="20"/>
        </w:rPr>
        <w:t>Brent crude recovery above $80/barrel combined with chemicals price normalization could unlock the full earnings potential implied by the forward PE, building on FY2026's 79% EPS growth [1]</w:t>
      </w:r>
    </w:p>
    <w:p>
      <w:pPr>
        <w:spacing w:before="40" w:after="40"/>
        <w:ind w:left="283"/>
      </w:pPr>
      <w:r>
        <w:rPr>
          <w:rFonts w:ascii="Calibri" w:hAnsi="Calibri"/>
          <w:b/>
          <w:color w:val="4A6B25"/>
          <w:sz w:val="20"/>
        </w:rPr>
        <w:t xml:space="preserve">3. </w:t>
      </w:r>
      <w:r>
        <w:rPr>
          <w:rFonts w:ascii="Calibri" w:hAnsi="Calibri"/>
          <w:b w:val="0"/>
          <w:color w:val="3A4A28"/>
          <w:sz w:val="20"/>
        </w:rPr>
        <w:t>New CEO Simon Baloyi's leadership in driving operational efficiency (Secunda five-year production high, $49/barrel oil breakeven) and credible emissions reduction could improve ESG sentiment and broaden the investor base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carbon intensity — Secunda's ~60M tonnes CO2e and 112K tonnes SO2 annually make Sasol a primary target for climate regulation, carbon taxes, and ESG-driven divestment, with a 20-year record of failing to meet emissions targets [3]</w:t>
      </w:r>
    </w:p>
    <w:p>
      <w:pPr>
        <w:spacing w:before="40" w:after="40"/>
        <w:ind w:left="283"/>
      </w:pPr>
      <w:r>
        <w:rPr>
          <w:rFonts w:ascii="Calibri" w:hAnsi="Calibri"/>
          <w:b/>
          <w:color w:val="4A6B25"/>
          <w:sz w:val="20"/>
        </w:rPr>
        <w:t xml:space="preserve">2. </w:t>
      </w:r>
      <w:r>
        <w:rPr>
          <w:rFonts w:ascii="Calibri" w:hAnsi="Calibri"/>
          <w:b w:val="0"/>
          <w:color w:val="3A4A28"/>
          <w:sz w:val="20"/>
        </w:rPr>
        <w:t>Sustained low oil and chemicals prices below $60 Brent could keep ROE near 2.5% and profit margins below 1%, rendering the cheap forward PE a value trap rather than a recovery opportunity [4]</w:t>
      </w:r>
    </w:p>
    <w:p>
      <w:pPr>
        <w:spacing w:before="40" w:after="40"/>
        <w:ind w:left="283"/>
      </w:pPr>
      <w:r>
        <w:rPr>
          <w:rFonts w:ascii="Calibri" w:hAnsi="Calibri"/>
          <w:b/>
          <w:color w:val="4A6B25"/>
          <w:sz w:val="20"/>
        </w:rPr>
        <w:t xml:space="preserve">3. </w:t>
      </w:r>
      <w:r>
        <w:rPr>
          <w:rFonts w:ascii="Calibri" w:hAnsi="Calibri"/>
          <w:b w:val="0"/>
          <w:color w:val="3A4A28"/>
          <w:sz w:val="20"/>
        </w:rPr>
        <w:t>South African macro risks including ZAR/USD volatility, energy infrastructure instability (load-shedding), potential regulatory changes on mining royalties or carbon pricing, and geopolitical risk to Mozambique gas operations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Sasol's core business — chemical manufacturing via Fischer-Tropsch synthesis, mining operations, fuel refining, and energy production — is deeply physical and structurally immune to AI disruption [1]. Chemical processes require real catalysts, real feedstocks, and precise temperature and pressure conditions that AI cannot virtualize or substitute. The 27,411 employees operate complex petrochemical plants, coal mines, and gas extraction operations requiring physical presence and engineering expertise. Regulatory permits, environmental compliance, and decades of process engineering knowledge create barriers that AI-native entrants cannot replicate. Increased AI adoption across the economy may drive incremental energy and chemicals demand (AI data centers consume electricity and cooling chemicals), providing indirect tailwind. The energy transition represents a broader structural risk, but this is driven by policy and economics rather than AI specifically. AI Opportunity (0/1): Sasol's AI exploration program identified 10 generative AI use cases and the June 2026 appointment of a Chief Information and Digital Officer signals intent [2]. However, no AI-driven revenue or quantified operational savings have been reported. The opportunity exists for AI-optimized process control, predictive maintenance, and supply chain optimization across a R272B revenue base, but remains unrealized.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Sasol FY2026 Annual Results (Year Ended June 30, 2026) — Turnover R272.1B (+9%), EBITDA R61B (+17%), EBIT R25.7B (+37%), EPS R18.99 (+79%), Net Debt $3.3B (-11%), Secunda 7.26Mt Production High — sasol.com,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Sasol Leadership &amp; Digital Transformation — CEO Simon Baloyi, CIDO Sne Dlamini (June 2026), 'Licence to Lead' Program, AI Use Case Exploration — Business Explainer, Leaders Journal, sasol.com, 2026</w:t>
      </w:r>
    </w:p>
    <w:p>
      <w:pPr>
        <w:spacing w:before="20" w:after="20"/>
        <w:ind w:left="170"/>
      </w:pPr>
      <w:r>
        <w:rPr>
          <w:rFonts w:ascii="Calibri" w:hAnsi="Calibri"/>
          <w:b/>
          <w:color w:val="4A6B25"/>
          <w:sz w:val="15"/>
        </w:rPr>
        <w:t xml:space="preserve">3. </w:t>
      </w:r>
      <w:r>
        <w:rPr>
          <w:rFonts w:ascii="Calibri" w:hAnsi="Calibri"/>
          <w:b w:val="0"/>
          <w:color w:val="3A4A28"/>
          <w:sz w:val="17"/>
        </w:rPr>
        <w:t>Sasol Environmental Controversy — World's Largest Single-Site GHG Emitter (~60Mt CO2e), 112K Tonnes SO2, 'Carbon Criminal' Label, 20-Year Emissions Target Failure Record, Investor Criticism — Centre for Environmental Rights, Business Day, Mail &amp; Guardian, GroundUp,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SSL Key Statistics: Forward P/E 4.46x, ROE 2.47%, Profit Margin 0.97%, D/E 70%, Stock Price ~$12.50, TTM Revenue $15.06B,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