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SSNC</w:t>
      </w:r>
      <w:r>
        <w:rPr>
          <w:rFonts w:ascii="Calibri" w:hAnsi="Calibri"/>
          <w:b/>
          <w:color w:val="1A2010"/>
          <w:sz w:val="40"/>
        </w:rPr>
        <w:t xml:space="preserve">  SS&amp;C Technologies Holdings, Inc.</w:t>
      </w:r>
    </w:p>
    <w:p>
      <w:pPr>
        <w:spacing w:after="120"/>
      </w:pPr>
      <w:r>
        <w:rPr>
          <w:rFonts w:ascii="Calibri" w:hAnsi="Calibri"/>
          <w:b/>
          <w:color w:val="6E8450"/>
          <w:sz w:val="18"/>
        </w:rPr>
        <w:t>DIVIDEND SLEEVE · 2026-08-29 · Inspire: 55 · FINITE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57</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Application · NASDAQ · United States</w:t>
      </w:r>
    </w:p>
    <w:p>
      <w:pPr>
        <w:spacing w:after="80"/>
      </w:pPr>
      <w:r>
        <w:rPr>
          <w:rFonts w:ascii="Calibri" w:hAnsi="Calibri"/>
          <w:b w:val="0"/>
          <w:color w:val="3A4A28"/>
          <w:sz w:val="20"/>
        </w:rPr>
        <w:t>SS&amp;C Technologies provides software products and software-enabled services to the financial services and healthcare industries. The company offers fund administration, transfer agency, portfolio management, trading, compliance, and banking solutions. SS&amp;C serves 18,000+ clients including alternative and traditional asset managers, insurance companies, banks, and healthcare organizations worldwide. Founded in 1986 by CEO Bill Stone, the company has completed 70+ acquisitions to build a comprehensive platform.</w:t>
      </w:r>
    </w:p>
    <w:p>
      <w:r>
        <w:rPr>
          <w:rFonts w:ascii="Calibri" w:hAnsi="Calibri"/>
          <w:b/>
          <w:color w:val="6E8450"/>
          <w:sz w:val="18"/>
        </w:rPr>
        <w:t>28,800 Employees · https://www.ssctech.com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SS&amp;C executed a transformative serial acquisition strategy including DST Systems ($5.4B), GlobeOp, Advent, Blue Prism, and Calastone, growing from a niche software provider to a $6.7B+ comprehensive financial technology platform with 97% client retention validating integration execution [1][2]. Q2 2026 delivered record revenue of $1,695.7M (up 10.3% YoY) with adjusted organic growth accelerating to 7.6% from 5.0% in Q1, demonstrating improving core momentum [2]. AI Deployment (2/2): SS&amp;C deployed its proprietary Link AI engine for automated document redaction, categorization, and PII identification across fund administration workflows, and has integrated agentic AI into transfer agency and compliance platforms using a 'customer zero' internal-testing approach before client deployment [3]. Market Share (1/2): SS&amp;C is a meaningful leader in fund administration software and transfer agency technology, processing trillions in assets across 18,000+ clients, though it competes with larger platforms like FIS and Broadridge [1]. Product Pipeline (1/2): Full-year 2026 guidance raised to $6.664-$6.824B with 5.3% organic growth target and 40% EBITDA margin goal by Q4 2026, with Kuro and Callistone acquisitions tracking ahead of expectations [2]. R&amp;D Intensity (1/1): R&amp;D spending exceeded $2.9B over the last four years (~12% of revenue), above average for financial services software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SS&amp;C's purpose — delivering technology solutions for financial services and healthcare efficiency — is clear and industry-specific but not transformative beyond operational excellence; it identifies what the company does without articulating a broader vision of a better future [3]. Community Impact (0/2): No evidence of distinctive charitable programs, corporate foundation, or community investment initiatives beyond standard ESG reporting commitments [6]. Employee Retention (1/2): Bill Stone's 40-year founder-CEO tenure provides exceptional leadership continuity, Rahul Kanwar's elevation to President signals succession depth, and 97% client retention suggests organizational stability, though Glassdoor reviews describe a culture that 'lacks inclusivity and transparency' with 'micromanagement and favoritism' [4]. Insider Buying (0/2): Net insider selling of $14M over the last 12 months; CEO Stone exercised options on 420K shares at $33.89 strike (option exercise, not open-market buying) while overall insider activity skews toward selling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with strong financial metrics driven by an exceptionally low forward P/E and solid dividend history. Q2 2026 delivered record revenue of $1,695.7M (up 10.3% YoY) with adjusted organic growth accelerating to 7.6% and GAAP EPS of $0.97 (up 34.7%) [2]. Full-year 2026 guidance raised to $6.664-$6.824B. Forward P/E of 10.5 scores perfectly — remarkably low for a financial technology company generating $6.7B+ annually. D/E of 111% is elevated from serial acquisitions but manageable with strong recurring cash generation [1]. ROE of 11.8% falls below the 15% target, compressed by significant goodwill from the acquisition-heavy model. Revenue growth YoY of 10.3% meets the target. Revenue 5yr CAGR of approximately 6% trails the 10% target. Profit margin of 13.1% is below the 20% target but improving toward the 40% EBITDA margin goal by Q4 2026 [2]. Dividend metrics are favorable: payout ratio ~30%, 13 consecutive years of payments, 9 consecutive years of growth, and 5yr dividend growth CAGR of 10.0%. Liquidity floor cleared: ~2.4M avg volume x $74.41 = $176M daily [7].</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DC2626"/>
          <w:sz w:val="22"/>
        </w:rPr>
        <w:t>FINITE</w:t>
      </w:r>
      <w:r>
        <w:rPr>
          <w:rFonts w:ascii="Calibri" w:hAnsi="Calibri"/>
          <w:b w:val="0"/>
          <w:color w:val="6E8450"/>
          <w:sz w:val="22"/>
        </w:rPr>
        <w:t xml:space="preserve">      Overall: </w:t>
      </w:r>
      <w:r>
        <w:rPr>
          <w:rFonts w:ascii="Calibri" w:hAnsi="Calibri"/>
          <w:b/>
          <w:color w:val="DC2626"/>
          <w:sz w:val="28"/>
        </w:rPr>
        <w:t>3</w:t>
      </w:r>
      <w:r>
        <w:rPr>
          <w:rFonts w:ascii="Calibri" w:hAnsi="Calibri"/>
          <w:b w:val="0"/>
          <w:color w:val="9DAF88"/>
          <w:sz w:val="18"/>
        </w:rPr>
        <w:t xml:space="preserve"> /10</w:t>
      </w:r>
    </w:p>
    <w:p>
      <w:pPr>
        <w:spacing w:after="120"/>
      </w:pPr>
      <w:r>
        <w:rPr>
          <w:rFonts w:ascii="Calibri" w:hAnsi="Calibri"/>
          <w:b w:val="0"/>
          <w:color w:val="3A4A28"/>
          <w:sz w:val="18"/>
        </w:rPr>
        <w:t>SS&amp;C under founder-CEO Bill Stone has demonstrated remarkable 40-year commitment to building a financial technology platform, but the company's competitive posture is quintessentially finite — growth through serial acquisitions to consolidate market share, emphasis on market dominance, and internal culture issues flagged by employees. The company exists to build a larger software empire rather than to advance a cause that transcends the business. Sinek would note the absence of a Just Cause and the finite competitive language [3][4].</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SS&amp;C's purpose — technology solutions for financial services efficiency — is genuine and has been consistently pursued for 40 years under founder Bill Stone, who started with $20,000 from his basement [3]. However, this is operational excellence, not a Just Cause in Sinek's sense. The mission doesn't describe a future state worth sacrificing for — it describes a market position. Leadership references growth, acquisitions, and EBITDA margins in strategic discussions, not purpose.</w:t>
      </w:r>
    </w:p>
    <w:p>
      <w:pPr>
        <w:spacing w:before="200" w:after="40"/>
      </w:pPr>
      <w:r>
        <w:rPr>
          <w:rFonts w:ascii="Calibri" w:hAnsi="Calibri"/>
          <w:b/>
          <w:color w:val="1A2010"/>
          <w:sz w:val="22"/>
        </w:rPr>
        <w:t>Trusting Teams</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(0/2): Employee reviews paint a concerning picture of SS&amp;C's internal culture — employees describe 'senior leadership that tends to micromanage and show favoritism' creating 'an unfair and demotivating environment' where 'talented and dedicated employees often do not get the recognition or opportunities they deserve' [4]. Promotions appear biased rather than merit-based, and the culture 'lacks inclusivity and transparency.' This is inconsistent with Sinek's Circle of Safety — employees appear to spend energy protecting themselves from internal politics rather than advancing the organization's mission.</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SS&amp;C's competitive posture is finite — CEO Stone emphasizes the company's 'deep and wide moat' and market dominance, and the serial acquisition strategy is explicitly about capturing market share and eliminating competition rather than learning from rivals [3]. No evidence of management acknowledging competitors' strengths as motivation for self-improvement in earnings commentary. The competitive language centers on scale, coverage, and winning, not on improvement.</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SS&amp;C has evolved incrementally through acquisitions — from niche portfolio accounting software to comprehensive financial services platform, from on-premise licenses to cloud/SaaS delivery, and from pure software to technology-enabled services [1]. The Blue Prism RPA acquisition and current AI pivot represent meaningful business model evolution. However, these changes have been incremental rather than transformative — SS&amp;C has stayed within financial services technology throughout, and the evolution was acquisition-driven rather than a courageous reimagining of the business.</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Bill Stone demonstrated courage in taking on $5.4B in debt for the transformative DST Systems acquisition and investing $2.9B+ in R&amp;D over four years during uncertain market conditions [1]. The 'customer zero' approach to AI — testing internally before client deployment — shows willingness to invest ahead of revenue. However, these bets are growth-driven rather than purpose-driven, and the $1.5B share repurchase authorization prioritizes financial returns over long-term capability investment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SS&amp;C Technologies delivered record Q2 2026 results with $1,695.7M revenue (up 10.3% YoY) and adjusted organic growth accelerating to 7.6% from 5.0% in Q1, demonstrating improving core momentum [2]. The company raised full-year 2026 guidance to $6.664-$6.824B and targets a 40% EBITDA margin by Q4 2026, reflecting operational discipline alongside growth investment. At a forward P/E of 10.5 on adjusted EPS guidance of $6.93-$7.25, the stock trades at a significant discount to financial technology peers, offering value if the organic growth acceleration proves sustainable [7]. The 97% client retention rate and deep integration into mission-critical fund administration, transfer agency, and compliance workflows create high switching costs across 18,000+ clients. Founder-CEO Bill Stone's 40-year tenure and disciplined M&amp;A strategy have built a durable franchise with a sustainable 30% payout ratio dividend (13 consecutive years paid, 9 years of growth, 10% 5yr CAGR).</w:t>
      </w:r>
    </w:p>
    <w:p>
      <w:pPr>
        <w:spacing w:after="120"/>
      </w:pPr>
      <w:r>
        <w:rPr>
          <w:rFonts w:ascii="Calibri" w:hAnsi="Calibri"/>
          <w:b w:val="0"/>
          <w:color w:val="3A4A28"/>
          <w:sz w:val="20"/>
        </w:rPr>
        <w:t>The bear case centers on AI disruption risk and cultural headwinds. Morgan Stanley explicitly cited the 'AI risk narrative' as weighing on the stock, noting that generative AI could automate document processing and reporting workflows that SS&amp;C provides as high-margin services [3]. D/E of 111% reflects significant debt from serial acquisitions, creating interest rate sensitivity and limiting strategic flexibility. ROE of 11.8% and profit margin of 13.1% lag software peers, depressed by the acquisition-heavy balance sheet and services mix [7]. The wide gap between GAAP EPS ($0.97 Q2) and adjusted EPS ($1.78 Q2) reflects significant amortization that understates true capital consumption [2]. Glassdoor reviews revealing micromanagement, favoritism, and lack of transparency suggest internal culture issues that could impair talent retention and innovation in the competitive fintech labor market [4]. Net insider selling of $14M over the last 12 months raises questions about management conviction at current prices [5].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Adjusted organic revenue growth accelerating from 5.0% in Q1 to 7.6% in Q2 2026 with record $1,695.7M quarterly revenue, suggesting improving core momentum beyond M&amp;A-driven growth [2]</w:t>
      </w:r>
    </w:p>
    <w:p>
      <w:pPr>
        <w:spacing w:before="40" w:after="40"/>
        <w:ind w:left="283"/>
      </w:pPr>
      <w:r>
        <w:rPr>
          <w:rFonts w:ascii="Calibri" w:hAnsi="Calibri"/>
          <w:b/>
          <w:color w:val="4A6B25"/>
          <w:sz w:val="20"/>
        </w:rPr>
        <w:t xml:space="preserve">2. </w:t>
      </w:r>
      <w:r>
        <w:rPr>
          <w:rFonts w:ascii="Calibri" w:hAnsi="Calibri"/>
          <w:b w:val="0"/>
          <w:color w:val="3A4A28"/>
          <w:sz w:val="20"/>
        </w:rPr>
        <w:t>Forward P/E of 10.5x represents significant multiple expansion potential versus financial technology sector median of ~19x if the AI disruption narrative fades and organic growth sustains above 7% [7]</w:t>
      </w:r>
    </w:p>
    <w:p>
      <w:pPr>
        <w:spacing w:before="40" w:after="40"/>
        <w:ind w:left="283"/>
      </w:pPr>
      <w:r>
        <w:rPr>
          <w:rFonts w:ascii="Calibri" w:hAnsi="Calibri"/>
          <w:b/>
          <w:color w:val="4A6B25"/>
          <w:sz w:val="20"/>
        </w:rPr>
        <w:t xml:space="preserve">3. </w:t>
      </w:r>
      <w:r>
        <w:rPr>
          <w:rFonts w:ascii="Calibri" w:hAnsi="Calibri"/>
          <w:b w:val="0"/>
          <w:color w:val="3A4A28"/>
          <w:sz w:val="20"/>
        </w:rPr>
        <w:t>EBITDA margin expansion toward the 40% target by Q4 2026 as operating leverage improves on recurring revenue growth and AI-driven automation reduces operating costs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AI disruption narrative — generative AI could automate document processing, data reconciliation, and reporting workflows that comprise a meaningful portion of SS&amp;C's high-margin service revenue, as flagged by Morgan Stanley [3]</w:t>
      </w:r>
    </w:p>
    <w:p>
      <w:pPr>
        <w:spacing w:before="40" w:after="40"/>
        <w:ind w:left="283"/>
      </w:pPr>
      <w:r>
        <w:rPr>
          <w:rFonts w:ascii="Calibri" w:hAnsi="Calibri"/>
          <w:b/>
          <w:color w:val="4A6B25"/>
          <w:sz w:val="20"/>
        </w:rPr>
        <w:t xml:space="preserve">2. </w:t>
      </w:r>
      <w:r>
        <w:rPr>
          <w:rFonts w:ascii="Calibri" w:hAnsi="Calibri"/>
          <w:b w:val="0"/>
          <w:color w:val="3A4A28"/>
          <w:sz w:val="20"/>
        </w:rPr>
        <w:t>Wide GAAP-to-adjusted earnings gap ($0.97 vs $1.78 Q2 EPS) masks true capital consumption from serial acquisitions — if goodwill impairments materialize, reported earnings deteriorate sharply [2]</w:t>
      </w:r>
    </w:p>
    <w:p>
      <w:pPr>
        <w:spacing w:before="40" w:after="40"/>
        <w:ind w:left="283"/>
      </w:pPr>
      <w:r>
        <w:rPr>
          <w:rFonts w:ascii="Calibri" w:hAnsi="Calibri"/>
          <w:b/>
          <w:color w:val="4A6B25"/>
          <w:sz w:val="20"/>
        </w:rPr>
        <w:t xml:space="preserve">3. </w:t>
      </w:r>
      <w:r>
        <w:rPr>
          <w:rFonts w:ascii="Calibri" w:hAnsi="Calibri"/>
          <w:b w:val="0"/>
          <w:color w:val="3A4A28"/>
          <w:sz w:val="20"/>
        </w:rPr>
        <w:t>Glassdoor-documented culture issues including micromanagement and favoritism risk talent attrition in the competitive fintech labor market, potentially degrading product innovation and client service quality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(6/9): SS&amp;C's core fund administration, transfer agency, and compliance services are deeply embedded in mission-critical client workflows with 97% retention rates, high switching costs, and regulatory requirements (SEC, ERISA, insurance) that create meaningful barriers to AI-driven displacement [1][3]. Over 80% of covering analysts remain bullish, viewing the business as 'not easily disrupted' by AI [8]. However, generative AI could automate document processing, data reconciliation, and reporting workflows that SS&amp;C currently provides as high-margin services, as flagged by Morgan Stanley [3]. CEO Stone's proactive 'Ops-A.I. Revolution' strategy with the Link AI engine and agentic AI deployment is the right response but the outcome remains uncertain. AI Opportunity (1/1): SS&amp;C generates quantifiable AI-related revenue through its Link AI engine (document automation, PII identification), agentic AI in fund administration platforms, and AI-powered compliance tools deployed across the 18,000+ client base [3]. The Intralinks platform integrates AI into dealmaking workflows with published research validating adoption trends [8].</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55</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SS&amp;C Technologies Q1 2026 Earnings Release — $1.648B adjusted revenue (+8.8%), $1.69 adjusted EPS (+14.2%), SS&amp;C Investor Relations, April 23, 2026</w:t>
      </w:r>
    </w:p>
    <w:p>
      <w:pPr>
        <w:spacing w:before="20" w:after="20"/>
        <w:ind w:left="170"/>
      </w:pPr>
      <w:r>
        <w:rPr>
          <w:rFonts w:ascii="Calibri" w:hAnsi="Calibri"/>
          <w:b/>
          <w:color w:val="4A6B25"/>
          <w:sz w:val="15"/>
        </w:rPr>
        <w:t xml:space="preserve">2. </w:t>
      </w:r>
      <w:r>
        <w:rPr>
          <w:rFonts w:ascii="Calibri" w:hAnsi="Calibri"/>
          <w:b w:val="0"/>
          <w:color w:val="3A4A28"/>
          <w:sz w:val="17"/>
        </w:rPr>
        <w:t>SS&amp;C Technologies Record Q2 2026 Financial Results — $1,695.7M revenue (+10.3%), GAAP EPS $0.97 (+34.7%), SS&amp;C Investor Relations, July 23, 2026</w:t>
      </w:r>
    </w:p>
    <w:p>
      <w:pPr>
        <w:spacing w:before="20" w:after="20"/>
        <w:ind w:left="170"/>
      </w:pPr>
      <w:r>
        <w:rPr>
          <w:rFonts w:ascii="Calibri" w:hAnsi="Calibri"/>
          <w:b/>
          <w:color w:val="4A6B25"/>
          <w:sz w:val="15"/>
        </w:rPr>
        <w:t xml:space="preserve">3. </w:t>
      </w:r>
      <w:r>
        <w:rPr>
          <w:rFonts w:ascii="Calibri" w:hAnsi="Calibri"/>
          <w:b w:val="0"/>
          <w:color w:val="3A4A28"/>
          <w:sz w:val="17"/>
        </w:rPr>
        <w:t>SS&amp;C Technologies AI Strategy and Corporate Profile — Link AI engine, agentic AI deployment, Ops-A.I. Revolution, ssctech.com, accessed August 2026</w:t>
      </w:r>
    </w:p>
    <w:p>
      <w:pPr>
        <w:spacing w:before="20" w:after="20"/>
        <w:ind w:left="170"/>
      </w:pPr>
      <w:r>
        <w:rPr>
          <w:rFonts w:ascii="Calibri" w:hAnsi="Calibri"/>
          <w:b/>
          <w:color w:val="4A6B25"/>
          <w:sz w:val="15"/>
        </w:rPr>
        <w:t xml:space="preserve">4. </w:t>
      </w:r>
      <w:r>
        <w:rPr>
          <w:rFonts w:ascii="Calibri" w:hAnsi="Calibri"/>
          <w:b w:val="0"/>
          <w:color w:val="3A4A28"/>
          <w:sz w:val="17"/>
        </w:rPr>
        <w:t>Glassdoor Reviews — SS&amp;C Technologies Leadership Culture, micromanagement and favoritism concerns, 3,413 reviews, accessed August 2026</w:t>
      </w:r>
    </w:p>
    <w:p>
      <w:pPr>
        <w:spacing w:before="20" w:after="20"/>
        <w:ind w:left="170"/>
      </w:pPr>
      <w:r>
        <w:rPr>
          <w:rFonts w:ascii="Calibri" w:hAnsi="Calibri"/>
          <w:b/>
          <w:color w:val="4A6B25"/>
          <w:sz w:val="15"/>
        </w:rPr>
        <w:t xml:space="preserve">5. </w:t>
      </w:r>
      <w:r>
        <w:rPr>
          <w:rFonts w:ascii="Calibri" w:hAnsi="Calibri"/>
          <w:b w:val="0"/>
          <w:color w:val="3A4A28"/>
          <w:sz w:val="17"/>
        </w:rPr>
        <w:t>MarketBeat / SEC Filings — SSNC Insider Trading Activity, net selling $14M, $1.5B buyback authorization, 2025-2026</w:t>
      </w:r>
    </w:p>
    <w:p>
      <w:pPr>
        <w:spacing w:before="20" w:after="20"/>
        <w:ind w:left="170"/>
      </w:pPr>
      <w:r>
        <w:rPr>
          <w:rFonts w:ascii="Calibri" w:hAnsi="Calibri"/>
          <w:b/>
          <w:color w:val="4A6B25"/>
          <w:sz w:val="15"/>
        </w:rPr>
        <w:t xml:space="preserve">6. </w:t>
      </w:r>
      <w:r>
        <w:rPr>
          <w:rFonts w:ascii="Calibri" w:hAnsi="Calibri"/>
          <w:b w:val="0"/>
          <w:color w:val="3A4A28"/>
          <w:sz w:val="17"/>
        </w:rPr>
        <w:t>SS&amp;C Technologies ESG Report and Sustainalytics Rating (Average) — ssctech.com, accessed August 2026</w:t>
      </w:r>
    </w:p>
    <w:p>
      <w:pPr>
        <w:spacing w:before="20" w:after="20"/>
        <w:ind w:left="170"/>
      </w:pPr>
      <w:r>
        <w:rPr>
          <w:rFonts w:ascii="Calibri" w:hAnsi="Calibri"/>
          <w:b/>
          <w:color w:val="4A6B25"/>
          <w:sz w:val="15"/>
        </w:rPr>
        <w:t xml:space="preserve">7. </w:t>
      </w:r>
      <w:r>
        <w:rPr>
          <w:rFonts w:ascii="Calibri" w:hAnsi="Calibri"/>
          <w:b w:val="0"/>
          <w:color w:val="3A4A28"/>
          <w:sz w:val="17"/>
        </w:rPr>
        <w:t>Yahoo Finance / StockAnalysis — SSNC Key Statistics, Forward P/E 10.45, D/E 111%, ROE 11.8%, accessed August 2026</w:t>
      </w:r>
    </w:p>
    <w:p>
      <w:pPr>
        <w:spacing w:before="20" w:after="20"/>
        <w:ind w:left="170"/>
      </w:pPr>
      <w:r>
        <w:rPr>
          <w:rFonts w:ascii="Calibri" w:hAnsi="Calibri"/>
          <w:b/>
          <w:color w:val="4A6B25"/>
          <w:sz w:val="15"/>
        </w:rPr>
        <w:t xml:space="preserve">8. </w:t>
      </w:r>
      <w:r>
        <w:rPr>
          <w:rFonts w:ascii="Calibri" w:hAnsi="Calibri"/>
          <w:b w:val="0"/>
          <w:color w:val="3A4A28"/>
          <w:sz w:val="17"/>
        </w:rPr>
        <w:t>Analyst Sentiment on SS&amp;C Technologies Remains Strong Despite AI Risks — Yahoo Finance,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