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SSYS</w:t>
      </w:r>
      <w:r>
        <w:rPr>
          <w:rFonts w:ascii="Calibri" w:hAnsi="Calibri"/>
          <w:b/>
          <w:color w:val="1A2010"/>
          <w:sz w:val="40"/>
        </w:rPr>
        <w:t xml:space="preserve">  Stratasys Ltd.</w:t>
      </w:r>
    </w:p>
    <w:p>
      <w:pPr>
        <w:spacing w:after="120"/>
      </w:pPr>
      <w:r>
        <w:rPr>
          <w:rFonts w:ascii="Calibri" w:hAnsi="Calibri"/>
          <w:b/>
          <w:color w:val="6E8450"/>
          <w:sz w:val="18"/>
        </w:rPr>
        <w:t>GROWTH SLEEVE · 2026-09-30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Stratasys Ltd. is a connected polymer-based 3D printing solutions provider headquartered in Minnetonka, Minnesota with significant operations in Israel. The company offers a broad range of additive manufacturing technologies including FDM, PolyJet, stereolithography (Neo SLA), DLP (Origin P3), and SAF powder-based printing across industrial, dental, medical, and aerospace applications. Under CEO Yoav Zeif, Stratasys has been navigating a prolonged industry downturn — Q1 2026 revenue of $132.7M declined 2.4% YoY, with product revenue down 5.3% offset by services growth of 4.0%. Full-year 2026 guidance projects revenue of $565-575M with non-GAAP operating margins of 0.7-1.5%. Market cap is approximately $745M against a net cash position of ~$187M.</w:t>
      </w:r>
    </w:p>
    <w:p>
      <w:r>
        <w:rPr>
          <w:rFonts w:ascii="Calibri" w:hAnsi="Calibri"/>
          <w:b/>
          <w:color w:val="6E8450"/>
          <w:sz w:val="18"/>
        </w:rPr>
        <w:t>1,757 Employees · https://www.stratasys.com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Stratasys has launched multiple new printing platforms over the last 5 years — Origin P3 (DLP technology), SAF (powder-based), Neo SLA, and J35 Pro desktop — but none have driven meaningful revenue growth, with total revenue declining from $651M (2022) to $547M TTM, a 16% contraction [1]. The MakerBot consumer 3D printing acquisition was eventually exited, representing a failed strategic bet. These are incremental product extensions rather than transformative pivots. AI Deployment (0/2): No AI-powered products shipping to customers with measurable revenue impact. Stratasys has integrated AI elements into its GrabCAD software for design optimization and print path planning, but no quantified cost savings or revenue contribution from AI initiatives has been reported [2]. Market Share (1/2): Stratasys is a meaningful player in industrial 3D printing alongside 3D Systems, HP, and EOS, with strong positions in PolyJet and FDM technologies for prototyping and tooling. However, HP has gained significant share in production applications and Stratasys is not the clear category leader [1]. Product Pipeline (0/2): No specific next-generation products with named launch dates and revenue visibility; the company references sequential improvement through 2026 but provides no named platforms with specific timelines [1]. R&amp;D Intensity (1/1): Stratasys invests heavily in R&amp;D relative to its revenue base, maintaining multi-technology platform development across six distinct printing technologies, above the computer hardware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Stratasys positions itself around 'Mindful Manufacturing' and 'leading the global shift to additive manufacturing,' connecting 3D printing to sustainability, waste reduction, and manufacturing transformation [3]. This is clear and identifies a larger purpose beyond selling printers — reducing waste and enabling more sustainable production. However, it has not been validated by consistent strategic execution, as the company's declining revenue and restructuring suggest the mission hasn't shaped winning decisions. Community Impact (1/2): Stratasys earned an EcoVadis Gold Medal (top 5% globally), consumed 778,365 kWh of renewable energy avoiding 554 tons of CO2 emissions, achieved a 15.5% reduction in GHG emissions intensity, and implemented an Equal Parent Policy increasing parental leave uptake by 17% [3]. These are measurable but represent general corporate sustainability rather than distinctive community investment. Employee Retention (0/2): Glassdoor rating of 3.4/5 with highly negative qualitative reviews — employees describe 'toxic culture,' 'leadership is inept,' and 'highly political' decision-making [2]. Multiple reviews state the company is 'no longer an innovation company' and 'does little to develop their culture and people.' This evidence suggests a low-trust, low-morale environment. Insider Buying (0/2): No evidence of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primary strength is a nearly debt-free balance sheet with D/E of just 3.1% and net cash of ~$187M ($212.5M cash vs. $25.4M debt), scoring perfectly on leverage [4]. However, most other metrics score poorly: ROE is deeply negative at -13.4% (2x weight, scores 0), profit margin is -21.0% reflecting persistent GAAP losses totaling $348M over the last three fiscal years, revenue growth YoY is -0.3%, and 5yr revenue CAGR is approximately -2.1% as revenue has declined from ~$607M (2021) to $547M TTM [1]. Forward P/E of 45.4x is well above the 20x target though at least indicating a path to profitability, and Forward PEG of 2.06 provides partial credit (2x weight). The stock clears the liquidity floor with ~$5.5M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Stratasys operates with a predominantly finite mindset — the company has been in cost-cutting survival mode with declining revenue, toxic employee culture per Glassdoor reviews, and no clear Just Cause beyond generic manufacturing transformation rhetoric. The successful defense against Nano Dimension's hostile takeover in 2023-2024 showed some strategic conviction, and the multi-technology platform evolution demonstrates flexibility. However, declining financials, cultural dysfunction, and lack of a validated purpose place Stratasys firmly in finite territory from Sinek's perspective.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Stratasys articulates 'Mindful Manufacturing' and positions 3D printing as transforming manufacturing toward sustainability and waste reduction [3]. This is a legitimate purpose statement that connects the company's work to a larger societal benefit. However, it reads as marketing rather than a deeply held organizational conviction — the company's strategic decisions (cost cutting, restructuring, fighting off acquisitions) are driven by financial survival rather than advancing a manufacturing revolution. A declining business cannot credibly claim a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 employees describe 'toxic culture,' call leadership 'inept,' and report 'highly political' decision-making where outcomes depend on 'who managed to strong-arm other top managers' [2]. Multiple reviews state the company 'does little to develop their culture and people but demands a lot.' At 3.4/5 with frequent mentions of organizational dysfunction, Stratasys appears to lack the psychological safety and empowerment that Sinek considers foundational to infinite-game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Stratasys engaged in a protracted hostile takeover defense against Nano Dimension, which included public proxy battles and shareholder campaigns — language and actions more consistent with competitive warfare than competitive learning [2]. No management commentary was found referencing learning from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Stratasys has evolved its technology platform over time — from FDM-only origins to six distinct printing technologies (FDM, PolyJet, SLA, DLP/P3, SAF, TechStyle) covering prototyping, tooling, production parts, dental, and medical applications [1]. The exit from consumer 3D printing (MakerBot divestiture) showed willingness to abandon a failing business line. However, these are incremental technology additions rather than a fundamental reinvention of the company's business model or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Stratasys demonstrated strategic conviction in rejecting Nano Dimension's hostile takeover attempts in 2023-2024, choosing long-term independence over a short-term acquisition premium when the board believed the offers undervalued the company's technology portfolio [2]. The continued investment in six printing technology platforms despite sustained losses shows some willingness to invest for the future. However, the broader pattern is cost-cutting and restructuring driven by financial necessity rather than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Stratasys offers a deep-value turnaround case — trading at 0.91x book value with a net cash position of ~$187M ($212.5M cash, $25.4M debt) against a $745M market cap, the downside is partially protected by the balance sheet [4]. The company holds a broad portfolio of six 3D printing technologies serving industrial, dental, medical, and aerospace verticals, and 2026 guidance of $565-575M revenue with 0.7-1.5% non-GAAP operating margins signals a potential inflection toward profitability after three consecutive years of GAAP losses [1]. AI-driven generative design and on-demand manufacturing trends structurally favor additive manufacturing adoption over time, and Stratasys's installed base of industrial printers creates recurring consumables and service revenue.</w:t>
      </w:r>
    </w:p>
    <w:p>
      <w:pPr>
        <w:spacing w:after="120"/>
      </w:pPr>
      <w:r>
        <w:rPr>
          <w:rFonts w:ascii="Calibri" w:hAnsi="Calibri"/>
          <w:b w:val="0"/>
          <w:color w:val="3A4A28"/>
          <w:sz w:val="20"/>
        </w:rPr>
        <w:t>The bear case is severe: revenue has declined 16% from $651M (2022) to $547M TTM with no clear bottom in sight, and GAAP losses total $348M over the last three fiscal years [1][4]. Profit margin of -21% and ROE of -13.4% reflect a business that is destroying value. The non-GAAP profitability guidance of 0.7-1.5% operating margin represents barely break-even operations, and $17M in tariff/FX headwinds create additional pressure. Glassdoor reviews describing 'toxic culture' and 'inept leadership' suggest deep organizational dysfunction that may prevent a turnaround under current management [2]. The 3D printing industry remains fragmented with HP, 3D Systems, EOS, and emerging Chinese competitors all vying for market share, and enterprise customers have been slow to adopt additive manufacturing for production at scale. Forward P/E of 45.4x prices in significant earnings recovery that has not materialized over multiple years of promises. The Inspire Impact Score of 64 (ALIGNED) and EcoVadis Gold Medal are positives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as restructuring actions take hold — 2026 non-GAAP operating margins guided to 0.7-1.5% represent the first positive operating income in years, with sequential revenue improvement expected through H2 2026 [1]</w:t>
      </w:r>
    </w:p>
    <w:p>
      <w:pPr>
        <w:spacing w:before="40" w:after="40"/>
        <w:ind w:left="283"/>
      </w:pPr>
      <w:r>
        <w:rPr>
          <w:rFonts w:ascii="Calibri" w:hAnsi="Calibri"/>
          <w:b/>
          <w:color w:val="4A6B25"/>
          <w:sz w:val="20"/>
        </w:rPr>
        <w:t xml:space="preserve">2. </w:t>
      </w:r>
      <w:r>
        <w:rPr>
          <w:rFonts w:ascii="Calibri" w:hAnsi="Calibri"/>
          <w:b w:val="0"/>
          <w:color w:val="3A4A28"/>
          <w:sz w:val="20"/>
        </w:rPr>
        <w:t>AI-driven generative design adoption could accelerate demand for additive manufacturing as complex optimized geometries increasingly require 3D printing rather than traditional manufacturing methods</w:t>
      </w:r>
    </w:p>
    <w:p>
      <w:pPr>
        <w:spacing w:before="40" w:after="40"/>
        <w:ind w:left="283"/>
      </w:pPr>
      <w:r>
        <w:rPr>
          <w:rFonts w:ascii="Calibri" w:hAnsi="Calibri"/>
          <w:b/>
          <w:color w:val="4A6B25"/>
          <w:sz w:val="20"/>
        </w:rPr>
        <w:t xml:space="preserve">3. </w:t>
      </w:r>
      <w:r>
        <w:rPr>
          <w:rFonts w:ascii="Calibri" w:hAnsi="Calibri"/>
          <w:b w:val="0"/>
          <w:color w:val="3A4A28"/>
          <w:sz w:val="20"/>
        </w:rPr>
        <w:t>Net cash position of $187M provides balance sheet optionality for strategic acquisitions, technology partnerships, or shareholder returns that could unlock value at 0.91x book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revenue decline from $651M (2022) to $547M TTM with no evidence of a structural bottom — enterprise adoption of production 3D printing remains slower than expected, and each missed quarter erodes investor confidence in the turnaround thesis [1]</w:t>
      </w:r>
    </w:p>
    <w:p>
      <w:pPr>
        <w:spacing w:before="40" w:after="40"/>
        <w:ind w:left="283"/>
      </w:pPr>
      <w:r>
        <w:rPr>
          <w:rFonts w:ascii="Calibri" w:hAnsi="Calibri"/>
          <w:b/>
          <w:color w:val="4A6B25"/>
          <w:sz w:val="20"/>
        </w:rPr>
        <w:t xml:space="preserve">2. </w:t>
      </w:r>
      <w:r>
        <w:rPr>
          <w:rFonts w:ascii="Calibri" w:hAnsi="Calibri"/>
          <w:b w:val="0"/>
          <w:color w:val="3A4A28"/>
          <w:sz w:val="20"/>
        </w:rPr>
        <w:t>Organizational dysfunction evidenced by Glassdoor reviews citing 'toxic culture' and 'inept leadership' could prevent effective strategy execution — a turnaround requires motivated teams, and cultural rot is the hardest problem to fix [2]</w:t>
      </w:r>
    </w:p>
    <w:p>
      <w:pPr>
        <w:spacing w:before="40" w:after="40"/>
        <w:ind w:left="283"/>
      </w:pPr>
      <w:r>
        <w:rPr>
          <w:rFonts w:ascii="Calibri" w:hAnsi="Calibri"/>
          <w:b/>
          <w:color w:val="4A6B25"/>
          <w:sz w:val="20"/>
        </w:rPr>
        <w:t xml:space="preserve">3. </w:t>
      </w:r>
      <w:r>
        <w:rPr>
          <w:rFonts w:ascii="Calibri" w:hAnsi="Calibri"/>
          <w:b w:val="0"/>
          <w:color w:val="3A4A28"/>
          <w:sz w:val="20"/>
        </w:rPr>
        <w:t>Forward P/E of 45.4x prices in meaningful earnings recovery; if the expected inflection to GAAP profitability does not materialize in 2026-2027, the multiple could compress significantly on a sub-$1 stock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Stratasys's core business — manufacturing and selling physical 3D printing hardware, materials, and services — is structurally protected from AI disruption. AI cannot replace the physical process of additive manufacturing, and AI-driven generative design and topology optimization actually increase demand for 3D printing by creating complex geometries that only additive manufacturing can produce [2]. The deep material science expertise, proprietary printing processes, and installed base of industrial printers create switching costs that AI cannot replicate. However, AI could enable new competitors to develop competing manufacturing technologies or accelerate Chinese entrants' capabilities, preventing an IMMUNE rating. Analysts do not flag AI as a disruption risk for 3D printing hardware companies. AI Opportunity (0/1): Stratasys has not reported quantifiable revenue from AI-powered products or services. AI integration in GrabCAD software is a feature enhancement, not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Stratasys Q1-Q2 2026 Financial Results — Q1 Revenue $132.7M (-2.4% YoY), Full-Year Guidance $565-575M, Non-GAAP Operating Margin 0.7-1.5%, Tariff/FX Impact ~$17M — SEC 6-K Filings, 3DPrint.com, August 2026</w:t>
      </w:r>
    </w:p>
    <w:p>
      <w:pPr>
        <w:spacing w:before="20" w:after="20"/>
        <w:ind w:left="170"/>
      </w:pPr>
      <w:r>
        <w:rPr>
          <w:rFonts w:ascii="Calibri" w:hAnsi="Calibri"/>
          <w:b/>
          <w:color w:val="4A6B25"/>
          <w:sz w:val="15"/>
        </w:rPr>
        <w:t xml:space="preserve">2. </w:t>
      </w:r>
      <w:r>
        <w:rPr>
          <w:rFonts w:ascii="Calibri" w:hAnsi="Calibri"/>
          <w:b w:val="0"/>
          <w:color w:val="3A4A28"/>
          <w:sz w:val="17"/>
        </w:rPr>
        <w:t>Stratasys Leadership and Culture — CEO Yoav Zeif, Glassdoor 3.4/5, 'Toxic Culture' and 'Inept Leadership' Reviews, Nano Dimension Hostile Takeover Defense 2023-2024 — Glassdoor, Comparably, BusinessWire</w:t>
      </w:r>
    </w:p>
    <w:p>
      <w:pPr>
        <w:spacing w:before="20" w:after="20"/>
        <w:ind w:left="170"/>
      </w:pPr>
      <w:r>
        <w:rPr>
          <w:rFonts w:ascii="Calibri" w:hAnsi="Calibri"/>
          <w:b/>
          <w:color w:val="4A6B25"/>
          <w:sz w:val="15"/>
        </w:rPr>
        <w:t xml:space="preserve">3. </w:t>
      </w:r>
      <w:r>
        <w:rPr>
          <w:rFonts w:ascii="Calibri" w:hAnsi="Calibri"/>
          <w:b w:val="0"/>
          <w:color w:val="3A4A28"/>
          <w:sz w:val="17"/>
        </w:rPr>
        <w:t>Stratasys ESG and Sustainability — EcoVadis Gold Medal (Top 5%), Third Mindful Manufacturing Report, 778,365 kWh Renewable Energy, 15.5% GHG Intensity Reduction, Equal Parent Policy — Stratasys Investor Relations, 3D Printing Industry,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SSYS Key Statistics: Forward P/E 45.39x, D/E 3.1%, ROE -13.4%, Profit Margin -21.0%, P/B 0.91x, Net Cash ~$187M, Stock Price $8.51,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