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STGW</w:t>
      </w:r>
      <w:r>
        <w:rPr>
          <w:rFonts w:ascii="Calibri" w:hAnsi="Calibri"/>
          <w:b/>
          <w:color w:val="1A2010"/>
          <w:sz w:val="40"/>
        </w:rPr>
        <w:t xml:space="preserve">  Stagwell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2026-09-12 · Inspire: -49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Advertising Agencies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Stagwell Inc. is a digital-first marketing services holding company operating a network of 70+ agencies spanning media buying, creative, digital product development, public relations, public affairs, research, and marketing technology, serving over 4,000 blue-chip clients across 40+ countries [1]. Q2 2026 revenue rose 11% YoY to $786M with adjusted EBITDA up 15% to $109M and adjusted EPS up 39% to $0.25, driven by strong organic growth in Digital Transformation (18%) and Communications (12%) [2]. Founded 2015 by CEO Mark Penn, merged with MDC Partners 2021, headquartered in New York City. Has a Harvard Business School case study on its AI marketing strategy.</w:t>
      </w:r>
    </w:p>
    <w:p>
      <w:r>
        <w:rPr>
          <w:rFonts w:ascii="Calibri" w:hAnsi="Calibri"/>
          <w:b/>
          <w:color w:val="6E8450"/>
          <w:sz w:val="18"/>
        </w:rPr>
        <w:t>10,951 Employees · https://www.stagwellglobal.com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Q2 2026 delivered 11% revenue growth to a record $786M with Digital Transformation up 18% organically — the strongest segment performance across any major agency holdco — while legacy rivals (WPP, Omnicom, IPG) continue cutting thousands of positions [1][2]. Trailing twelve-month net new business wins reached $486M+. AI Deployment (2/2): 'The Machine,' Stagwell's proprietary AI platform, targets up to 15% cost savings with ~$20M/quarter AI investment, and the company appointed John Kahan (30+ years at Microsoft/IBM) as inaugural Chief AI Officer to spearhead AI integration across the global network [3]. The strategy has earned a Harvard Business School case study. Market Share (2/2): Stagwell is actively hiring senior talent from Omnicom and IBM while competitors shed staff, and record net new business wins evidence real share gains against a consolidating legacy holdco landscape [1][3]. Product Pipeline (2/2): The Machine's network-wide rollout with a specific 15% cost-savings target, plus the annual internal 'Shark Tank' innovation competition ($1M prizes) producing shipped AR/AI tools, provide concrete pipeline visibility [3]. R&amp;D Intensity (1/1): ~$80M annualized AI investment (~2.8% of net revenue) is well above ad agency peer levels, especially as competitors cut technology spend simultaneously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Stagwell's positioning as 'the challenger network built to transform marketing... to harmonize the art and science of marketing' is specific and genuinely differentiated from legacy holdco positioning, reinforced by the AI-first investment thesis and Harvard Business School recognition [1]. However, the company is only public since 2021 and hasn't been tested across market cycles. Community Impact (0/2): No significant charitable or community investment program was identified in research. Employee Retention (1/2): Actively hiring senior talent away from Omnicom and IBM while rivals cut thousands of positions is a positive directional signal for employer attractiveness, though Glassdoor reviews flag concerns about culture erosion in acquired agencies — 'Stagwell promised agencies could keep their culture, but this has not been upheld' and prioritization of 'short-term revenue and cost savings above all else' [4]. Net mixed signal. Insider Buying (2/2): CEO Mark Penn made a specific open-market purchase of 20,000 shares for $117,600 in May 2026, adding to a pattern of prior insider acquisitions that reinforce founder conviction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growth-stock weighting (all 7 metrics available; total weight 10). Forward P/E of 7.87 is exceptionally cheap (score 1.0), PEG ratio of 0.37 is well below the 1.0 target (score 1.0, 2x weight), and five-year net revenue CAGR of ~18% comfortably clears the 10% target (score 1.0, 2x weight) [6]. Q2 2026 revenue growth of 11% YoY scores a full 1.0, exceeding the 10% target [2]. The drags are D/E of 241% (score 0.26), ROE of just 2.41% (score 0.16, 2x weight), and GAAP profit margin of 0.53% (score 0.03) — all reflecting the thin margins typical of an agency holdco still scaling its AI-driven cost structure [6]. Raised FY2026 guidance of adjusted EPS $1.03-$1.17 suggests margin expansion ahead. Liquidity floor easily cleared: 1.07M avg vol x $8.90 = $9.5M.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Stagwell under Mark Penn shows real courage — investing counter-cyclically in AI ($20M/quarter) and talent while legacy rivals retrench, earning a Harvard Business School case study on its AI strategy. The company demonstrates genuine existential flexibility in having rebuilt itself from the struggling MDC Partners shell into an AI-forward network. But the 'challenger' identity is fundamentally rival-focused rather than cause-driven, Glassdoor reviews flag culture erosion in acquired agencies, and no evidence points to a Just Cause beyond outcompeting WPP and Omnicom.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Stagwell's self-positioning as 'the challenger network' explicitly defines itself in opposition to legacy holding companies rather than articulating an idealistic, service-oriented cause independent of beating specific rivals — closer to competitive positioning than a Sinek-style Just Cause [1]. The 'harmonize the art and science of marketing' framing is specific but still industry-functional, not transformative.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Stagwell is attracting senior talent from Omnicom and IBM at the same time legacy peers are cutting thousands of roles, a positive reputational signal [3]. However, Glassdoor reviews flag that acquired agencies were promised they could 'keep their culture' but this has not been upheld, and the company is seen as prioritizing 'short-term revenue and cost savings above all else' — a mixed trust picture that averages to adequate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Stagwell's explicit 'challenger vs. legacy holdco' branding frames WPP, Omnicom, and IPG as incumbents to be displaced rather than worthy rivals whose strengths sharpen Stagwell's own strategy — a finite competitive mindset by Sinek's criteria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2021 merger transforming the struggling MDC Partners into an AI-forward 'challenger network,' the ongoing rollout of The Machine, and the appointment of a Chief AI Officer represent real strategic adaptation [1][3]. However, the underlying business — agency services — remains fundamentally the same category as legacy peers, so the reinvention is operational rather than business-model transformative.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Investing ~$20M per quarter in AI and actively hiring while WPP, Omnicom, and IPG collectively cut roughly 4,000 positions represents a genuine, sustained counter-cyclical bet on long-term capability over near-term cost optics [1][3]. Appointing a Chief AI Officer from Microsoft, earning a Harvard Business School case study on the strategy, and CEO Penn's $117,600 open-market share purchase all reinforce the pattern. Q2 2026 results (11% revenue growth, adj EPS +39%) provide early validation [2][5].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Stagwell is executing a genuine counter-cyclical AI investment strategy that is delivering accelerating results while legacy holding companies retrench. Q2 2026 revenue rose 11% YoY to a record $786M with Digital Transformation up 18%, adjusted EBITDA up 15% to $109M, and adjusted EPS surging 39% to $0.25 [2]. Management raised full-year adjusted EPS guidance to $1.03-$1.17 and reiterated 8-12% net revenue growth and $475-525M adjusted EBITDA targets, while record net new business wins ($486M+ LTM) provide forward revenue visibility [1][2]. At a forward P/E of just 7.87x and PEG of 0.37, the stock is inexpensive relative to its growth trajectory, and CEO Mark Penn's May 2026 open-market share purchase reinforces insider conviction [5][6]. The company's AI strategy has earned a Harvard Business School case study.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leverage, thin margins, and structural AI risk to the agency model itself. D/E of 241% and a GAAP profit margin of just 0.53% leave little cushion if client ad spend softens, and ROE of 2.41% remains anemic despite the EPS growth [6]. More fundamentally, generative AI and hyperscaler-built in-house marketing tools threaten to disintermediate agencies broadly — Forrester's 'algorithms of record' thesis and reports of sharp AI-driven stock declines across the advertising sector suggest the risk is structural, not cyclical [3]. Glassdoor reviews flag that acquired agencies' cultures have not been preserved as promised and that short-term revenue is prioritized over long-term sustainability, creating retention risk for the creative talent that is Stagwell's core asset [4]. The Inspire Impact Score of -49 (MISALIGNED) limits allocation for faith-based investors, and the 'challenger' positioning against WPP and Omnicom is inherently a finite, rival-focused framing rather than a durable cause.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The Machine's full network rollout delivering toward its 15% cost-savings target, expanding margins from the current sub-1% GAAP net level toward the $1.03-$1.17 adjusted EPS guidance range [2][3]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net new business momentum ($486M+ LTM) converting into realized revenue, with Q2 2026 Digital Transformation growth of 18% suggesting the AI-enabled services are winning share from legacy holdcos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Chief AI Officer John Kahan (30+ years Microsoft/IBM) integrating AI capabilities across the 70+ agency network, potentially accelerating the margin expansion and differentiation versus competitors still cutting AI investment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Structural AI disintermediation risk — hyperscalers and generative AI tools could allow clients to bring creative, media-buying, and analytics work in-house, compressing agency fees industry-wide regardless of Stagwell's own AI investment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D/E of 241% and GAAP profit margin of 0.53% leave minimal cushion against a client ad-spend pullback, and ROE of 2.41% suggests the business is not yet earning its cost of capital [6]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Culture erosion in acquired agencies — Glassdoor reviews report broken promises about preserving agency culture and prioritization of short-term revenue, creating retention risk for creative talent that is Stagwell's core differentiator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(4/9): Marketing and advertising agencies face genuine AI substitution risk — generative AI is leveling the playing field on creative execution, and enterprise hyperscalers (Microsoft, Amazon, Google) risk disintermediating agencies as clients build in-house AI capabilities; Forrester has framed this shift as agencies becoming 'algorithms of record,' with some ad-sector names seeing sharp AI-driven stock declines [3]. Stagwell is adapting faster than peers — hiring a Chief AI Officer from Microsoft, investing $20M/quarter in AI, and rolling out The Machine — which partially but not fully offsets the structural threat to execution-based agency fees. AI Opportunity (1/1): The Machine is a quantified AI efficiency driver targeting 15% cost savings, and the Digital Transformation segment (AI-enabled) grew 18% organically in Q2 2026 with raised full-year adjusted EPS guidance of $1.03-$1.17 [2][3].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Stagwell FY2025 Results and FY2026 Guidance — Net Revenue $2.43B (+6% YoY), 2026 Guide 8-12% Growth, $475-525M Adj EBITDA, stagwellglobal.com, Campaign US,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Stagwell Q2 2026 Results — Revenue $786M (+11%), Digital Transformation +18%, Adj EBITDA $109M (+15%), Adj EPS $0.25 (+39%), Raised FY2026 Adj EPS Guide $1.03-$1.17, stagwellglobal.com, Yahoo Finance,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Stagwell AI Strategy — The Machine Rollout, Chief AI Officer John Kahan Appointed (from Microsoft/IBM), ~$80M Annualized AI Investment, Harvard Business School Case Study,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Stagwell Glassdoor Reviews — Culture Erosion in Acquired Agencies, Short-Term Revenue Prioritization, Glassdoor.com,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CEO Mark Penn Insider Stock Purchase — 20,000 Shares for $117,600, May 2026, Investing.com, StockTitan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Yahoo Finance, StockAnalysis — STGW Key Statistics: Stock Price $8.90, Forward P/E 7.87, PEG 0.37, D/E 241%, ROE 2.41%, Profit Margin 0.53%, Avg Volume 1.07M,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