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STLD</w:t>
      </w:r>
      <w:r>
        <w:rPr>
          <w:rFonts w:ascii="Calibri" w:hAnsi="Calibri"/>
          <w:b/>
          <w:color w:val="1A2010"/>
          <w:sz w:val="40"/>
        </w:rPr>
        <w:t xml:space="preserve">  Steel Dynamics,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2026-08-29 · Inspire: 50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72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Basic Materials · Steel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Steel Dynamics is the third-largest carbon steel producer in the United States with over 13 million tons of annual steelmaking capacity. The company operates through four segments: Steel Operations, Metals Recycling, Steel Fabrication, and Aluminum Operations. Its electric arc furnace (EAF) mini-mill model produces steel from recycled scrap, serving construction, automotive, energy, and industrial end markets. Founded by Mark Millett in 1993; Theresa Wagler becomes CEO effective January 1, 2027, with Millett transitioning to Executive Chairman.</w:t>
      </w:r>
    </w:p>
    <w:p>
      <w:r>
        <w:rPr>
          <w:rFonts w:ascii="Calibri" w:hAnsi="Calibri"/>
          <w:b/>
          <w:color w:val="6E8450"/>
          <w:sz w:val="18"/>
        </w:rPr>
        <w:t>14,400 Employees · https://www.steeldynamics.com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Steel Dynamics delivered consecutive record quarters in H1 2026 — Q2 achieved record steel shipments of 3.7M tons with $6.09B revenue and $534M net income, following Q1's 3.6M ton record [1][2]. The $2.7B greenfield aluminum flat-rolled operation in Columbus, Mississippi is ramping with qualified products for automotive, beverage can, and industrial customers. AI Deployment (0/2): No evidence of AI-powered products or quantified AI-driven cost savings; the company focuses on operational technology and EAF process optimization. Barry Schneider's appointment as CTO targets process innovation and decarbonization rather than AI product development [3]. Market Share (2/2): STLD is the third-largest U.S. carbon steel producer and a top-three metals recycler in North America, with category leadership in steel joists and deck fabrication; consecutive record quarterly shipments demonstrate continued share gains [1][2]. Product Pipeline (1/2): BIOEDGE and EDGE lower-embodied-carbon steel products, aluminum flat-rolled ramp targeting persistent domestic supply deficit enhanced by tariffs, and $600M in 2026 capex directed at high-return growth including advanced scrap separation technology [1][2]. R&amp;D Intensity (1/1): Above-peer investment in EAF steelmaking technology, advanced scrap separation, and process innovation; new CTO role signals increased commitment to technology development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Steel Dynamics' foundational principles emphasize 'safety, performance, innovation — and always placing people first' with a mission to be the 'highest quality, lowest cost, most profitable metals-based solutions company in North America' — clear and operationally specific but fundamentally about competitive positioning rather than a deeper purpose beyond profit [4]. Community Impact (1/2): Named one of IBD's 100 Best ESG Companies — the only U.S. steel producer recognized — with 'Intentionally Sustainable' branding and BIOEDGE/EDGE lower-carbon products demonstrating environmental commitment, though specific charitable dollar amounts are not prominently disclosed [5]. Employee Retention (1/2): CEO Mark Millett's Comparably approval rating is in the Top 5% of similar-sized companies, with 105 employees giving leadership an A+ grade; the decentralized operational model rewards teamwork, innovation, and operating efficiency, though specific turnover or tenure data is not publicly available [3]. Insider Buying (0/2): Net insider selling of $6.4M over the past 12 months — SVP Alvarez sold $1.09M in April 2026, Director Cornew sold $1.12M, and multiple senior executives have been reducing positions even as the stock reached new highs [6].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available metrics. Q2 2026 delivered record results with $6.09B revenue, $534M net income, and $3.69 EPS — significantly beating the $3.51-$3.55 guidance and representing record steel shipments of 3.7M tons [2][8]. H1 2026 operating income increased 88% versus the prior year. D/E of 44.4% is conservatively below the 70% target. ROE improved to 17.6% on stronger earnings, well above the 15% target. Forward P/E of 13.0 remains attractive for a cyclical recovery story. Revenue growth YoY of approximately 20% driven by higher pricing and record shipments. 22 consecutive years of dividend payments with 13 consecutive years of growth at approximately 14.9% 5yr CAGR demonstrate exceptional dividend sustainability, reinforced by a Q1 2026 dividend increase of 6% to $0.53/quarter [7][8]. Payout ratio of 22% provides substantial room for continued increases. Profit margin of 7.8% is the main drag — typical for steel but well below the 20% target. Liquidity floor cleared: ~1.37M avg volume x $210 = $287M daily [7].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Steel Dynamics under founder-CEO Mark Millett plays a predominantly infinite game — the company has consistently reinvested in growth through steel cycles, committed $2.7B to enter aluminum (an entirely new product category), and maintained a decentralized culture of entrepreneurship that empowers teams. The Top 5% CEO approval and A+ leadership grades signal genuine trust. However, the mission remains anchored in competitive positioning ('lowest cost, most profitable') rather than a transcendent Just Cause.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Steel Dynamics' purpose centers on being the 'highest quality, lowest cost, most profitable metals-based solutions company' — this is a competitive goal, not a Just Cause in Sinek's framework [4]. While the company's 'Intentionally Sustainable' emphasis and commitment to circular manufacturing through recycled scrap add genuine depth, and the BIOEDGE/EDGE lower-carbon products reflect environmental values, the core mission is about operational excellence and profitability rather than a vision of a future state that invites sacrifice.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(2/2): Steel Dynamics' decentralized operational model is a textbook example of Sinek's Circle of Safety — individual mills operate with significant autonomy, and performance-based compensation aligns incentives at every level [3]. CEO Millett's Top 5% Comparably approval rating and the company's A+ leadership grade from 105 employees signal genuine trust and empowerment. The culture emphasizes 'energetic, positive, driven, innovative, and diverse individuals' with decentralized decision-making and responsibility. Founder Millett's 30+ year presence provides leadership continuity that fosters psychological safety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(1/1): Steel Dynamics competes against Nucor and Cleveland-Cliffs with a mindset focused on improving its own operational efficiency and technology rather than destroying competitors [1]. Management commentary consistently emphasizes internal metrics — lowest cost, highest quality, safest operations — rather than competitor takedowns. The aluminum expansion was driven by identifying a domestic supply gap, not by attacking incumbent aluminum producers. The company's competitive language is about self-improvement, not conquest.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The $2.7B greenfield aluminum flat-rolled investment represents meaningful strategic evolution — a steel company entering an entirely new metal category to capture a domestic supply deficit [2]. The Sinton mega-mill and metals recycling vertical integration also show willingness to evolve. BIOEDGE/EDGE products represent a pivot toward lower-carbon steelmaking. However, these are extensions of core metals competency rather than the transformative reinvention Sinek describes — the company adapts and expands within its domain but has not fundamentally reimagined its identity.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(2/2): Steel Dynamics has demonstrated a pattern of courageous long-term bets through multiple steel cycles — committing $2.7B to a greenfield aluminum operation during uncertain markets, building and ramping the Sinton flat-rolled mega-mill despite costly startup challenges, and maintaining $600M in 2026 capex while returning over $900M to shareholders through buybacks [1][2]. Relocating the planned aluminum satellite facility from Arizona to Mississippi — absorbing a $16M write-down — shows willingness to make tough calls that prioritize long-term economics over short-term optics [2]. Founder-CEO Millett's pattern of countercyclical investment reflects genuine long-term conviction.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Steel Dynamics delivered a record Q2 2026 with $6.09B revenue and $3.69 EPS — significantly beating the $3.51-$3.55 guidance — on record steel shipments of 3.7M tons, while H1 2026 operating income surged 88% versus the prior year [2][8]. At 13x forward P/E with a fortress balance sheet (44.4% D/E), 22 consecutive years of dividends growing at ~15% 5yr CAGR with a low 22% payout ratio, and the $2.7B aluminum flat-rolled operation ramping into a persistent domestic supply deficit enhanced by tariffs, STLD offers compelling cyclical value [7]. ROE has improved to 17.6% on stronger earnings, well above the 15% target. The CEO transition from founder Millett (to Executive Chairman) to 28-year veteran Theresa Wagler (current CFO, CEO effective January 1, 2027) signals deep bench strength and continuity rather than disruption [3]. The fabrication backlog — driven by data center, warehouse, and healthcare construction — provides multi-quarter earnings visibility.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steel's inherent cyclicality and margin vulnerability. Profit margin of 7.8% is thin, and STLD's earnings swing dramatically with steel prices — FY2025 net income fell 20% to $1.2B from $1.5B in FY2024 despite record shipments, as average selling prices compressed [1]. Trade policy risk is elevated: while current tariffs benefit domestic producers, policy reversals could flood the market with cheap imports and compress pricing power. The aluminum ramp carries execution risk — the Sinton facility had costly startup issues in 2022-2023, and the $16M Arizona-to-Mississippi relocation write-down signals planning challenges. The CEO transition from founder Millett to Wagler, while internally smooth, introduces leadership change risk at a time of record performance — execution continuity through the transition is not guaranteed [3]. Net insider selling of $6.4M across senior management signals those closest to the business may see limited near-term upside [6]. A construction downturn driven by higher interest rates could deflate the fabrication backlog that underpins the bull thesis.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Record Q2 2026 results ($3.69 EPS beating $3.51-$3.55 guidance, record 3.7M ton shipments) with H1 2026 operating income up 88% YoY, demonstrating strong earnings momentum heading into H2 [2][8]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Aluminum flat-rolled division ramping into a persistent domestic supply deficit enhanced by tariffs, providing significant through-cycle EBITDA diversification beyond cyclical steel operations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BIOEDGE and EDGE lower-embodied-carbon steel products capturing sustainability premium as construction and automotive customers face increasing scope 3 emissions scrutiny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Steel price cyclicality — profit margin of 7.22% is thin and earnings can swing 20%+ year-to-year with steel price cycles, as demonstrated by the FY2024-to-FY2025 earnings decline despite record volumes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Trade policy reversal risk — tariff rollbacks or new trade agreements could expose STLD to cheaper imported steel and aluminum, compressing domestic pricing power that drives current margin expansion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Net insider selling of $6.4M across senior management in the past 12 months despite strong earnings trajectory may signal limited near-term upside from current elevated levels [6]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Steel production is a fundamentally physical-world, capital-intensive industrial process that AI structurally cannot displace — melting scrap metal in electric arc furnaces, rolling steel, and fabricating structural components requires massive equipment, metallurgical expertise, and proximity to end markets [1]. STLD's EAF mini-mill model is already the most technologically advanced steelmaking process, and vertically integrated scrap recycling creates barriers AI cannot replicate. AI-driven demand for data centers directly benefits STLD through increased structural steel and fabrication orders — the fabrication backlog extended significantly with data center construction as a key driver [2]. Analysts see zero substitution risk for the core business. AI Opportunity (1/1): STLD generates indirect AI-related revenue through steel and fabrication products sold into data center construction, one of the company's fastest-growing end markets, with fabrication backlog supported by data center, warehouse, and healthcare construction demand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50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Environmental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Steel Dynamics Q1 2026 Earnings Release — $5.2B net sales (+19% YoY), $2.78 EPS, record 3.6M ton steel shipments,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Steel Dynamics Q2 2026 Earnings Release — $6.09B revenue, $534M net income, $3.69 EPS, record 3.7M ton shipments,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Comparably — Steel Dynamics culture ratings, CEO Mark Millett approval Top 5%, leadership grade A+; CEO transition Wagler/Millett announced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Steel Dynamics corporate website — mission, foundational principles, BIOEDGE/EDGE products, steeldynamics.com, accessed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Investor's Business Daily — Steel Dynamics named one of 100 Best ESG Companies, 2021; sustainability report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6. </w:t>
      </w:r>
      <w:r>
        <w:rPr>
          <w:rFonts w:ascii="Calibri" w:hAnsi="Calibri"/>
          <w:b w:val="0"/>
          <w:color w:val="3A4A28"/>
          <w:sz w:val="17"/>
        </w:rPr>
        <w:t>MarketBeat — STLD insider trading activity, net selling $6.4M, Alvarez and Cornew sales April-May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7. </w:t>
      </w:r>
      <w:r>
        <w:rPr>
          <w:rFonts w:ascii="Calibri" w:hAnsi="Calibri"/>
          <w:b w:val="0"/>
          <w:color w:val="3A4A28"/>
          <w:sz w:val="17"/>
        </w:rPr>
        <w:t>StockAnalysis / Yahoo Finance — STLD key statistics, Forward PE 13.0, D/E 44.4%, ROE 17.6%, dividend data, accessed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8. </w:t>
      </w:r>
      <w:r>
        <w:rPr>
          <w:rFonts w:ascii="Calibri" w:hAnsi="Calibri"/>
          <w:b w:val="0"/>
          <w:color w:val="3A4A28"/>
          <w:sz w:val="17"/>
        </w:rPr>
        <w:t>Steel Dynamics Q2 2026 Earnings Call — H1 2026 operating income up 88%, record shipments, metal margin expansion, July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