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STM</w:t>
      </w:r>
      <w:r>
        <w:rPr>
          <w:rFonts w:ascii="Calibri" w:hAnsi="Calibri"/>
          <w:b/>
          <w:color w:val="1A2010"/>
          <w:sz w:val="40"/>
        </w:rPr>
        <w:t xml:space="preserve">  STMicroelectronics N.V.</w:t>
      </w:r>
    </w:p>
    <w:p>
      <w:pPr>
        <w:spacing w:after="120"/>
      </w:pPr>
      <w:r>
        <w:rPr>
          <w:rFonts w:ascii="Calibri" w:hAnsi="Calibri"/>
          <w:b/>
          <w:color w:val="6E8450"/>
          <w:sz w:val="18"/>
        </w:rPr>
        <w:t>GROWTH SLEEVE · 2026-10-16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NYQ · Switzerland</w:t>
      </w:r>
    </w:p>
    <w:p>
      <w:pPr>
        <w:spacing w:after="80"/>
      </w:pPr>
      <w:r>
        <w:rPr>
          <w:rFonts w:ascii="Calibri" w:hAnsi="Calibri"/>
          <w:b w:val="0"/>
          <w:color w:val="3A4A28"/>
          <w:sz w:val="20"/>
        </w:rPr>
        <w:t>STMicroelectronics N.V. designs, develops, manufactures, and sells semiconductor products globally across Analog/MEMS/Sensors, Power/Discrete, Embedded Processing, and RF Products segments. Products include silicon carbide power transistors, MEMS sensors, microcontrollers with edge AI capability, automotive ICs, and silicon photonics for AI datacenter optical interconnects. Q2 2026 revenue was $3.49B (+26% YoY) with net income of $222M, and datacenter revenue is expected to exceed $1B in 2026, growing to well above $2B in 2027. Founded in 1987 through the merger of SGS Microelettronica and Thomson Semiconducteurs, headquartered in Schiphol, Netherlands.</w:t>
      </w:r>
    </w:p>
    <w:p>
      <w:r>
        <w:rPr>
          <w:rFonts w:ascii="Calibri" w:hAnsi="Calibri"/>
          <w:b/>
          <w:color w:val="6E8450"/>
          <w:sz w:val="18"/>
        </w:rPr>
        <w:t>49,000 Employees · https://www.st.com/content/st_com/en.html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STMicroelectronics has successfully expanded into several high-growth categories over five years — silicon carbide (SiC) power semiconductors for EVs, edge AI microcontrollers (STM32N6 series), and silicon photonics for AI data centers and LEO satellites [1]. The Communication Equipment and Computer Peripherals segment surged 50% YoY in Q2 2026 driven by optical connectivity for cloud AI infrastructure, and datacenter revenue is scaling from near-zero to $1B+ in 2026. AI Deployment (1/2): STM deploys AI at the edge through its STM32 microcontroller platform supporting 160,000+ development projects annually with neural network capability, and the STM32 AI Model Zoo enables machine learning deployment on embedded devices [2]. Datacenter revenue includes AI-driven demand for optical and power components, but STM is primarily an AI hardware enabler. Market Share (2/2): STM is a top-5 global automotive semiconductor supplier with leading positions in SiC power devices (competing with Infineon/Wolfspeed) and MEMS sensors [1]. Q2 automotive revenue grew 16% YoY driven by application-specific ICs, and the company acquired NXP's MEMS sensor business to strengthen category leadership. Product Pipeline (2/2): Strong pipeline visibility — Q3 2026 guided at $3.70B (+16% YoY), Q4 expected above $4B, datacenter roadmap from $1B in 2026 to well above $2B in 2027 driven by customer engagements in AI datacenters and satellite communication [1]. R&amp;D Intensity (0/1): STM invests approximately 15% of revenue in R&amp;D — above the semiconductor industry average of ~12%, but the scoring is binary and the evidence falls short of clearly top-quartile R&amp;D intensity when compared to analog-heavy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STMicroelectronics frames its purpose around enabling a 'smarter, greener, and more connected world' through semiconductor technology, with values of 'People, Integrity, and Excellence' [3]. The purpose connects to meaningful outcomes — vehicle electrification, energy efficiency, AI connectivity — but is not uniquely differentiated from semiconductor peers like Infineon or NXP who articulate similar visions. Community Impact (1/2): ST has been a UN Global Compact signatory since 2000, RBA member since 2005, and received 70+ corporate responsibility awards since 1991 [3]. The company achieved CDP A-List status for climate action and is advancing toward carbon neutrality by 2027 with process gas abatement reaching 83% in 2025. However, no distinctive charitable programs with specific dollar amounts were identified beyond industry-standard sustainability commitments. Employee Retention (1/2): Approximately 49,000 employees with CEO Jean-Marc Chery serving since 2018 (8+ year tenure) and a stable executive team, providing organizational continuity for the 39-year-old institution [2]. The company pledged to maintain Italian employment during governance tensions with Rome. No specific voluntary turnover or average tenure data was found to confirm above-average retention. Insider Buying (0/2): No evidence of meaningful net insider buying by CEO Chery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STM's fortress balance sheet features D/E of just 23.4% (score 1.0), and YoY revenue growth of 26.1% exceeds the 10% target (score 1.0) with Q2 2026 revenue of $3.49B beating guidance [1][4]. Forward P/E of 18.3x is below the 20x target (score 1.0), and the PEG ratio of 0.17 is extraordinarily attractive versus the 1.0 target (score 1.0, 2x weight), reflecting high expected earnings growth as the cyclical recovery accelerates. However, profitability remains depressed from the severe 2023-2025 downcycle: ROE of 2.7% (score 0.18, 2x weight) and profit margin of 3.6% (score 0.18) reflect the earnings trough with Q2 net income of $222M far below peak-cycle levels [1]. The 5yr revenue CAGR of approximately 3% (score 0.53, 2x weight) is compressed by the steep downcycle. Daily dollar volume of ~$440M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STMicroelectronics demonstrates meaningful infinite game qualities — a 39-year history of continuous reinvention through semiconductor cycles, deeply embedded sustainability commitment (UN Global Compact since 2000, carbon neutrality target 2027), and leadership stability under CEO Chery. The company invests through downturns rather than cutting R&amp;D, maintaining ~15% R&amp;D intensity even during the severe 2023-2025 downcycle. However, the dual-listing governance with Franco-Italian government shareholders creates unique political tensions, and the inherent cyclicality of semiconductor markets creates constant pressure to optimize for near-term results.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STMicroelectronics has a genuine purpose around enabling a 'smarter, greener, and more connected world' through semiconductor technology [3]. This cause connects to meaningful societal outcomes — vehicle electrification, AI infrastructure, energy efficiency — and the 39-year history with 25+ year sustainability commitment demonstrates consistency through multiple industry cycles. CEO Chery references the purpose in strategic context. However, the cause is shared by several semiconductor peers and lacks existential-crisis validation.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Chery's 8+ year tenure and chairmanship of the Global Semiconductor Alliance board signal leadership stability and industry stature [2]. The company's 25-year sustainability commitment (UN Global Compact, CDP A-List, 70+ CSR awards) reflects embedded organizational values [3]. The commitment to maintain Italian employment during Franco-Italian governance tensions demonstrates care for workers. However, no specific data on voluntary turnover, employee engagement scores, or average tenure was found, and the Italy-France political tensions over board composition revealed governance fragility.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While STMicroelectronics competes against formidable rivals — Texas Instruments, Infineon, NXP, Renesas — no specific evidence was found of management acknowledging competitors' strengths as motivation for self-improvement in a Sinek-style framework [2]. CEO Chery's industry-collaborative role through the GSA board suggests cooperative engagement, but competitive language in earnings calls and strategy presentations follows standard semiconductor industry framing.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STMicroelectronics has evolved meaningfully — shifting from a broad-line commodity supplier to a focused provider of automotive SiC, edge AI MCUs, and AI datacenter optical components [1]. The investment in SiC power was a significant bet that paid off with EV adoption, and the rapid scaling of silicon photonics for AI datacenters (from negligible to $1B+ revenue in 2026) shows continued strategic adaptation. However, these are evolutionary shifts within semiconductor manufacturing rather than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STMicroelectronics made courageous investments — multi-billion dollar SiC manufacturing capacity ahead of demand, new European fab construction despite capital intensity, and maintaining ~15% R&amp;D spending even during the severe FY2025 revenue trough when revenues fell to $11.8B [1]. The commitment to carbon neutrality by 2027 in a manufacturing-intensive business requires real investment. However, Franco-Italian government backing as shareholders provides a financial safety net that reduces the organizational risk of these decisions compared to purely market-driven companies.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STMicroelectronics at $46.60 with a forward P/E of 18.3x and PEG of 0.17 offers compelling value for a semiconductor company in the early stages of a strong cyclical recovery — Q2 2026 revenue of $3.49B (+26% YoY) beat guidance, Q3 is guided at $3.70B (+16% YoY), and Q4 is expected above $4B [1]. The AI datacenter opportunity has inflected dramatically, with revenue projected to exceed $1B in 2026 and grow to well above $2B in 2027, driven by silicon photonics and optical connectivity for cloud AI infrastructure [1]. The fortress balance sheet (D/E 23.4%) provides financial flexibility through cycles, and the product portfolio spans three secular growth themes: vehicle electrification (SiC power), edge AI (STM32 MCUs with 160K+ development projects), and AI datacenter buildout (optical interconnects). CEO Chery's stable 8+ year leadership ensures strategic continuity through the recovery.</w:t>
      </w:r>
    </w:p>
    <w:p>
      <w:pPr>
        <w:spacing w:after="120"/>
      </w:pPr>
      <w:r>
        <w:rPr>
          <w:rFonts w:ascii="Calibri" w:hAnsi="Calibri"/>
          <w:b w:val="0"/>
          <w:color w:val="3A4A28"/>
          <w:sz w:val="20"/>
        </w:rPr>
        <w:t>The primary concern is the depth of the earnings trough STM is climbing out of and the pace of margin recovery. Trailing P/E of 1,165x and ROE of 2.7% reflect the earnings collapse from the $17.3B 2023 peak to $11.8B 2025 trough, and while revenue is recovering strongly (26% YoY), Q2 gross margin of 34.8% remains well below the historical 47-50% peak [1][4]. Profit margin of 3.6% needs to recover toward the 15-20% historical range before earnings justify the $41.7B market cap. The 5-year revenue CAGR of just 3% reflects severe post-peak compression. European automotive OEM exposure (BMW, VW, Stellantis losing share to Chinese competitors) creates geographic concentration risk, and the Franco-Italian governance structure — with tensions between Rome and Paris over board composition and employment commitments — adds political complexity unusual for a $40B+ semiconductor company [3]. A renewed inventory correction in automotive or industrial end markets could stall the recovery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datacenter revenue exceeding $1B in 2026 and projected above $2B in 2027, driven by silicon photonics, optical connectivity, and power management demand for cloud AI infrastructure and LEO satellite communication — this represents STM's fastest-growing end market [1]</w:t>
      </w:r>
    </w:p>
    <w:p>
      <w:pPr>
        <w:spacing w:before="40" w:after="40"/>
        <w:ind w:left="283"/>
      </w:pPr>
      <w:r>
        <w:rPr>
          <w:rFonts w:ascii="Calibri" w:hAnsi="Calibri"/>
          <w:b/>
          <w:color w:val="4A6B25"/>
          <w:sz w:val="20"/>
        </w:rPr>
        <w:t xml:space="preserve">2. </w:t>
      </w:r>
      <w:r>
        <w:rPr>
          <w:rFonts w:ascii="Calibri" w:hAnsi="Calibri"/>
          <w:b w:val="0"/>
          <w:color w:val="3A4A28"/>
          <w:sz w:val="20"/>
        </w:rPr>
        <w:t>Gross margin recovery toward the historical 40-50% range as quarterly revenue scales above $4B in Q4 2026, manufacturing utilization improves, and higher-margin SiC and embedded processing products grow as a share of the revenue mix [1]</w:t>
      </w:r>
    </w:p>
    <w:p>
      <w:pPr>
        <w:spacing w:before="40" w:after="40"/>
        <w:ind w:left="283"/>
      </w:pPr>
      <w:r>
        <w:rPr>
          <w:rFonts w:ascii="Calibri" w:hAnsi="Calibri"/>
          <w:b/>
          <w:color w:val="4A6B25"/>
          <w:sz w:val="20"/>
        </w:rPr>
        <w:t xml:space="preserve">3. </w:t>
      </w:r>
      <w:r>
        <w:rPr>
          <w:rFonts w:ascii="Calibri" w:hAnsi="Calibri"/>
          <w:b w:val="0"/>
          <w:color w:val="3A4A28"/>
          <w:sz w:val="20"/>
        </w:rPr>
        <w:t>PEG ratio of 0.17 reflects extraordinary expected earnings growth as the cyclical recovery accelerates — forward EPS of $2.54 versus trailing EPS of $0.04 implies 60x+ earnings growth, and achieving even half that trajectory would drive significant stock re-rating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Semiconductor cyclicality risk — STM's revenue fell 32% from 2023 peak to 2025 trough, and the current 26% recovery could decelerate if automotive or industrial end markets face renewed inventory correction or EV adoption rates slow in Europe [1]</w:t>
      </w:r>
    </w:p>
    <w:p>
      <w:pPr>
        <w:spacing w:before="40" w:after="40"/>
        <w:ind w:left="283"/>
      </w:pPr>
      <w:r>
        <w:rPr>
          <w:rFonts w:ascii="Calibri" w:hAnsi="Calibri"/>
          <w:b/>
          <w:color w:val="4A6B25"/>
          <w:sz w:val="20"/>
        </w:rPr>
        <w:t xml:space="preserve">2. </w:t>
      </w:r>
      <w:r>
        <w:rPr>
          <w:rFonts w:ascii="Calibri" w:hAnsi="Calibri"/>
          <w:b w:val="0"/>
          <w:color w:val="3A4A28"/>
          <w:sz w:val="20"/>
        </w:rPr>
        <w:t>Profit margin recovery may be slower than expected — trailing profit margin of 3.6% and ROE of 2.7% are far below the 15-20% historical levels, and elevated capital spending on new fabs and SiC capacity expansion could delay margin normalization [4]</w:t>
      </w:r>
    </w:p>
    <w:p>
      <w:pPr>
        <w:spacing w:before="40" w:after="40"/>
        <w:ind w:left="283"/>
      </w:pPr>
      <w:r>
        <w:rPr>
          <w:rFonts w:ascii="Calibri" w:hAnsi="Calibri"/>
          <w:b/>
          <w:color w:val="4A6B25"/>
          <w:sz w:val="20"/>
        </w:rPr>
        <w:t xml:space="preserve">3. </w:t>
      </w:r>
      <w:r>
        <w:rPr>
          <w:rFonts w:ascii="Calibri" w:hAnsi="Calibri"/>
          <w:b w:val="0"/>
          <w:color w:val="3A4A28"/>
          <w:sz w:val="20"/>
        </w:rPr>
        <w:t>European automotive OEM exposure and Franco-Italian governance complexity — STM's largest customers include European automakers losing share to Chinese competitors, and political tensions between Italy and France over board composition and employment commitments create unusual governance risk for a $40B+ company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STMicroelectronics manufactures physical semiconductor products — SiC power transistors, microcontrollers, MEMS sensors, and silicon photonics — that are essential hardware AI cannot substitute [1][2]. AI data centers directly increase demand for STM's optical interconnects and power management ICs, with datacenter revenue projected to exceed $1B in 2026 and grow to $2B+ in 2027 [1]. The automotive semiconductor market is driven by vehicle electrification and ADAS — trends AI accelerates rather than threatens. However, commodity analog and generic MCU products face competitive pressure as larger AI-native chip companies (Qualcomm, NVIDIA) enter automotive with more integrated AI chip designs, creating moderate exposure for STM's less-differentiated product lines. AI Opportunity (1/1): STMicroelectronics generates quantifiable AI revenue — datacenter revenues exceeding $1B in 2026 driven by silicon photonics and optical connectivity for cloud AI infrastructure, plus the STM32 edge AI MCU platform with 160K+ development projects enabling neural network inference on embedded devices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STMicroelectronics Q1 and Q2 2026 Earnings — Q2 Revenue $3.49B (+26% YoY), Net Income $222M, Gross Margin 34.8%, Datacenter &gt;$1B in 2026, Q3 Guide $3.70B, Q4 Expected &gt;$4B — SEC 6-K, EE News Europe, Quartr, MarketBeat, July-August 2026</w:t>
      </w:r>
    </w:p>
    <w:p>
      <w:pPr>
        <w:spacing w:before="20" w:after="20"/>
        <w:ind w:left="170"/>
      </w:pPr>
      <w:r>
        <w:rPr>
          <w:rFonts w:ascii="Calibri" w:hAnsi="Calibri"/>
          <w:b/>
          <w:color w:val="4A6B25"/>
          <w:sz w:val="15"/>
        </w:rPr>
        <w:t xml:space="preserve">2. </w:t>
      </w:r>
      <w:r>
        <w:rPr>
          <w:rFonts w:ascii="Calibri" w:hAnsi="Calibri"/>
          <w:b w:val="0"/>
          <w:color w:val="3A4A28"/>
          <w:sz w:val="17"/>
        </w:rPr>
        <w:t>STMicroelectronics CEO Jean-Marc Chery Interview and AI Strategy — Edge AI STM32 Platform (160K+ Development Projects), STM32N6 Series, Silicon Photonics, GSA Board Chair — EE News Europe, The Machine Maker, 2025-2026</w:t>
      </w:r>
    </w:p>
    <w:p>
      <w:pPr>
        <w:spacing w:before="20" w:after="20"/>
        <w:ind w:left="170"/>
      </w:pPr>
      <w:r>
        <w:rPr>
          <w:rFonts w:ascii="Calibri" w:hAnsi="Calibri"/>
          <w:b/>
          <w:color w:val="4A6B25"/>
          <w:sz w:val="15"/>
        </w:rPr>
        <w:t xml:space="preserve">3. </w:t>
      </w:r>
      <w:r>
        <w:rPr>
          <w:rFonts w:ascii="Calibri" w:hAnsi="Calibri"/>
          <w:b w:val="0"/>
          <w:color w:val="3A4A28"/>
          <w:sz w:val="17"/>
        </w:rPr>
        <w:t>STMicroelectronics ESG and Governance — UN Global Compact Since 2000, CDP A-List, Standard Ethics EE Rating, Sustainalytics 7th/378 Semis, Italy-France Board Tensions Resolved — Sustainalytics, Standard Ethics, Reuters,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STM Key Statistics: Stock Price $46.60, Forward P/E 18.34, PEG 0.17, D/E 23.4%, ROE 2.7%, Profit Margin 3.6%, Market Cap $41.7B,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