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STNE</w:t>
      </w:r>
      <w:r>
        <w:rPr>
          <w:rFonts w:ascii="Calibri" w:hAnsi="Calibri"/>
          <w:b/>
          <w:color w:val="1A2010"/>
          <w:sz w:val="40"/>
        </w:rPr>
        <w:t xml:space="preserve">  StoneCo Ltd.</w:t>
      </w:r>
    </w:p>
    <w:p>
      <w:pPr>
        <w:spacing w:after="120"/>
      </w:pPr>
      <w:r>
        <w:rPr>
          <w:rFonts w:ascii="Calibri" w:hAnsi="Calibri"/>
          <w:b/>
          <w:color w:val="6E8450"/>
          <w:sz w:val="18"/>
        </w:rPr>
        <w:t>GROWTH SLEEVE · 2026-08-27 · Inspire: 38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Information Technology Services · NASDAQ · Brazil</w:t>
      </w:r>
    </w:p>
    <w:p>
      <w:pPr>
        <w:spacing w:after="80"/>
      </w:pPr>
      <w:r>
        <w:rPr>
          <w:rFonts w:ascii="Calibri" w:hAnsi="Calibri"/>
          <w:b w:val="0"/>
          <w:color w:val="3A4A28"/>
          <w:sz w:val="20"/>
        </w:rPr>
        <w:t>StoneCo is a Brazilian fintech platform that provides payment processing, digital banking, credit, and software solutions to small and medium-sized merchants across Brazil. The company processes payments through its proprietary POS network, offers working capital advances and credit products, and provides enterprise management software. CEO Mateus Schwening was appointed in March 2026 (transitioning from CFO), following the resignation of CEO Pedro Zinner. Q1 2026 revenue reached R$3.58B (+13% YoY) with net income of R$1.78B (+247%), though the net income surge was driven by a one-time tax gain. Q2 2026 EPS was $0.47, beating estimates. The company guided FY2026 adjusted gross profit of R$6.6-7.0B and adj basic EPS of R$10.8-11.4, though credit quality deterioration (90+ day NPLs ~7%, cost of risk 21.9%) is the key concern.</w:t>
      </w:r>
    </w:p>
    <w:p>
      <w:r>
        <w:rPr>
          <w:rFonts w:ascii="Calibri" w:hAnsi="Calibri"/>
          <w:b/>
          <w:color w:val="6E8450"/>
          <w:sz w:val="18"/>
        </w:rPr>
        <w:t>15,000 Employees · https://www.stone.co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StoneCo has meaningfully expanded from a pure payments processing company into a multi-product financial platform — adding digital banking, credit products, working capital advances, and enterprise management software for SMBs over the past 5 years [2]. This platform expansion opened new revenue streams and deepened merchant relationships. However, the credit pivot has introduced significant risk (90+ day NPLs near 7%, cost of risk 21.9%), and the company's thesis has become more dependent on credit revenue while payments growth disappoints [1]. AI Deployment (0/2): No evidence of AI products shipping to customers or quantified AI-driven cost savings. The appointment of Antonio Silveira (CTO of Attentive, an AI-powered mobile marketing company) to the board signals AI interest, but no measurable AI deployment has been achieved [3]. Market Share (1/2): StoneCo is a leading fintech in Brazil's payments market, but operates in intensely competitive territory against PagSeguro, Nubank, traditional banks (Itau, Bradesco), and Mercado Pago. The company has maintained its SMB merchant base but faces pricing pressure and market share challenges from better-capitalized competitors. Product Pipeline (1/2): Geographic expansion within Brazil, ESG integration, and AI-driven productization are articulated strategic priorities, and FY2026 guidance for H2 improvement driven by TPV growth and credit revenue expansion provides some visibility [1][3]. However, the credit quality deterioration introduces uncertainty about whether the credit expansion pipeline will deliver as planned. R&amp;D Intensity (0/1): No specific R&amp;D spending data available. As a fintech, StoneCo invests in technology development, but R&amp;D intensity relative to revenue is not disclosed separately or evidently above industry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StoneCo's core belief — 'clients drive everything the company does' — and culture values of 'respectful candor' and direct communication reflect genuine intentionality about how the company operates [3]. The focus on serving underbanked Brazilian SMBs connects the company's work to financial inclusion, a meaningful social purpose. However, the mission is not deeply distinctive compared to other fintechs (Nubank, PagSeguro), and the frequent leadership changes suggest the mission is not a durable guiding principle. Community Impact (0/2): No evidence of distinctive charitable programs, community investment, or social impact initiatives beyond the commercial financial inclusion effect of serving SMBs. StoneCo's core business provides financial access to small merchants, but this is a commercial activity, not philanthropy. Employee Retention (0/2): The labor court dispute involving the rehiring of approximately 370 employees signals organizational instability and employment practice concerns [3]. Six new board directors in 3 years and the CEO transition from Pedro Zinner to Mateus Schwening (March 2026) indicate high leadership turnover that undermines retention culture. Insider Buying (1/2): CFO and IR Officer Diego Ventura Salgado made 2 purchases totaling 22,490 shares in the past 6 months, partially offset by 2 sales [3]. This represents modest net insider buying — not the level of conviction that signals deep leadership confidence, but a positive signal amid the CEO transition.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StoneCo's infrastructure score is exceptional, with nearly every metric at or above target [4]. Forward P/E of 4.92x is far below the 20x target (score 1.0), and the Forward PEG of 0.33 is well below the 1.0 target (score 1.0, 2x weight), reflecting deep value pricing for a growing fintech. ROE of 30.65% is double the 15% target (score 1.0, 2x weight), and profit margin of 25.37% exceeds the 20% target [4]. Revenue growth YoY of 13% and 5-year CAGR of ~25% both exceed the 10% target. The only drag is D/E of 129.45% — above the 70% target but reflecting the credit portfolio expansion that requires leverage (score 0.74). Daily dollar volume of approximately $37M easily clears the liquidity floor. The combination of value pricing (4.92x forward earnings), profitability (25%+ margin, 30%+ ROE), and growth (13%+ revenue growth) produces the maximum infrastructure score.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StoneCo operates with a finite-game mentality characterized by leadership instability, aggressive financial targets, and competitive positioning oriented toward market share rather than enduring purpose. Three CEOs in rapid succession (since the Zinner-to-Schwening transition in March 2026), 6 new board directors in 3 years, and a labor court dispute over 370 employee rehirings reveal an organization in constant restructuring [3]. The company's pivot into credit — while financially rational — increases risk and dependency on quarterly performance metrics rather than building durable institutional capability. StoneCo competes fiercely against PagSeguro, Nubank, and traditional banks for Brazilian SMB share, but the competitive language is oriented toward winning market share rather than self-improvement.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StoneCo's client-centric belief system and focus on serving underbanked Brazilian SMBs connects the company's work to financial inclusion — a legitimate social purpose. However, the mission has not survived leadership transitions coherently: the CEO changed twice in recent years, and the company's strategic direction shifts with each leader (Zinner's credit pivot, Schwening's financial discipline focus) [3]. This suggests the cause is subordinate to leadership preferences rather than the enduring North Star Sinek requires.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Low-trust signals are pervasive. Six new board directors in 3 years and a March 2026 CEO change (the second in recent years) create organizational instability [3]. A Brazilian labor court ordered the rehiring of approximately 370 employees, suggesting layoffs were conducted improperly — a direct violation of employee trust and psychological safety. StoneCo and the union sought a 20-day suspension of the ruling rather than complying, indicating the company prioritizes cost management over employee welfare. These are hallmarks of a finite-game organization where people protect themselves rather than advance a collective cause.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StoneCo's competitive posture is oriented toward market share acquisition rather than learning from rivals. The company competes aggressively against PagSeguro, Nubank, and traditional banks for Brazilian SMB market share, but no evidence of management acknowledging competitors' strengths, referencing lessons learned from rivals, or framing competition as motivation for self-improvement was identified. The competitive language is finite — focused on winning customers, not becoming better.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StoneCo has evolved meaningfully from a pure payments processor to a multi-product financial platform — adding digital banking, credit products, and enterprise software [2]. This expansion into adjacent markets represents genuine strategic adaptation, entering new revenue streams while leveraging the existing merchant base. However, the pivot has been incremental rather than transformative, and the credit expansion has introduced significant risk (NPLs near 7%) rather than demonstrating the kind of bold, cause-driven reinvention Sinek values.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aggressive expansion into credit — despite the risks of higher NPLs and provisions — represents a willingness to invest in a new capability even when the near-term impact on margins is negative [1]. StoneCo also declared a special dividend in Q1 2026 while investing in platform expansion, balancing shareholder returns with growth investment. However, the frequent CEO changes and reactive cost-cutting (layoffs triggering labor court disputes) suggest leadership that optimizes for near-term financial performance rather than making the costly long-term bets Sinek describes.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StoneCo at 4.92x forward earnings is a deep-value Brazilian fintech trading at a substantial discount to intrinsic worth. ROE of 30.65%, profit margin of 25.37%, and Forward PEG of 0.33 represent exceptional financial metrics for a company growing revenue at 13%+ and guiding for R$6.6-7.0B in FY2026 adjusted gross profit [1][4]. The company's integrated payment-banking-credit platform creates deep merchant relationships with high switching costs, and the Brazilian SMB market remains underpenetrated by digital financial services. Q1 2026 net income of R$1.78B (+247%) demonstrated earnings power, and the special dividend signals management confidence in cash generation [2]. At current levels, the market is pricing in permanent impairment from credit losses and Brazil macro risk, creating asymmetric upside if credit quality stabilizes and Brazil's interest rate cycle turns favorable.</w:t>
      </w:r>
    </w:p>
    <w:p>
      <w:pPr>
        <w:spacing w:after="120"/>
      </w:pPr>
      <w:r>
        <w:rPr>
          <w:rFonts w:ascii="Calibri" w:hAnsi="Calibri"/>
          <w:b w:val="0"/>
          <w:color w:val="3A4A28"/>
          <w:sz w:val="20"/>
        </w:rPr>
        <w:t>The bear case is credit quality, leadership instability, and Brazil macro risk. Credit metrics deteriorated sharply in recent quarters — 90+ day NPLs near 7%, cost of risk at 21.9%, and provisions rising 50%+ QoQ — raising concerns that StoneCo's credit expansion thesis is fundamentally flawed [1]. As a company increasingly dependent on credit revenue, worsening asset quality could consume the earnings gains from platform expansion. The CEO transition (third change in recent years) and 6 new board directors in 3 years create governance risk and strategic uncertainty — each leader has shifted the company's direction [3]. Brazil's high Selic rate environment compresses fintech margins and increases credit losses, and any escalation in U.S.-Brazil trade tensions or BRL depreciation directly impacts the dollar-denominated stock price. Atmos Capital's complete exit from its $169M position despite a 'Strong Buy' consensus is a concerning signal from a sophisticated local investor.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Brazilian interest rate cycle turning — any Selic rate reduction would immediately improve credit margins, reduce NPL formation, and expand fintech demand from SMBs currently priced out of credit markets [1]</w:t>
      </w:r>
    </w:p>
    <w:p>
      <w:pPr>
        <w:spacing w:before="40" w:after="40"/>
        <w:ind w:left="283"/>
      </w:pPr>
      <w:r>
        <w:rPr>
          <w:rFonts w:ascii="Calibri" w:hAnsi="Calibri"/>
          <w:b/>
          <w:color w:val="4A6B25"/>
          <w:sz w:val="20"/>
        </w:rPr>
        <w:t xml:space="preserve">2. </w:t>
      </w:r>
      <w:r>
        <w:rPr>
          <w:rFonts w:ascii="Calibri" w:hAnsi="Calibri"/>
          <w:b w:val="0"/>
          <w:color w:val="3A4A28"/>
          <w:sz w:val="20"/>
        </w:rPr>
        <w:t>H2 2026 improvement driven by TPV growth acceleration and credit revenue expansion, as guided by management, which could demonstrate the platform thesis despite Q1-Q2 headwinds [1]</w:t>
      </w:r>
    </w:p>
    <w:p>
      <w:pPr>
        <w:spacing w:before="40" w:after="40"/>
        <w:ind w:left="283"/>
      </w:pPr>
      <w:r>
        <w:rPr>
          <w:rFonts w:ascii="Calibri" w:hAnsi="Calibri"/>
          <w:b/>
          <w:color w:val="4A6B25"/>
          <w:sz w:val="20"/>
        </w:rPr>
        <w:t xml:space="preserve">3. </w:t>
      </w:r>
      <w:r>
        <w:rPr>
          <w:rFonts w:ascii="Calibri" w:hAnsi="Calibri"/>
          <w:b w:val="0"/>
          <w:color w:val="3A4A28"/>
          <w:sz w:val="20"/>
        </w:rPr>
        <w:t>Valuation re-rating from 4.92x forward earnings toward fintech peer multiples (10-15x) if credit quality stabilizes and the new CEO establishes strategic credibility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Credit quality spiral — 90+ day NPLs near 7% and cost of risk at 21.9% could worsen if Brazil's macro environment deteriorates, potentially requiring large provision increases that eliminate profitability [1]</w:t>
      </w:r>
    </w:p>
    <w:p>
      <w:pPr>
        <w:spacing w:before="40" w:after="40"/>
        <w:ind w:left="283"/>
      </w:pPr>
      <w:r>
        <w:rPr>
          <w:rFonts w:ascii="Calibri" w:hAnsi="Calibri"/>
          <w:b/>
          <w:color w:val="4A6B25"/>
          <w:sz w:val="20"/>
        </w:rPr>
        <w:t xml:space="preserve">2. </w:t>
      </w:r>
      <w:r>
        <w:rPr>
          <w:rFonts w:ascii="Calibri" w:hAnsi="Calibri"/>
          <w:b w:val="0"/>
          <w:color w:val="3A4A28"/>
          <w:sz w:val="20"/>
        </w:rPr>
        <w:t>Leadership instability with the third CEO transition in recent years and 6 new board directors in 3 years creating strategic uncertainty and governance risk that discourages institutional investment [3]</w:t>
      </w:r>
    </w:p>
    <w:p>
      <w:pPr>
        <w:spacing w:before="40" w:after="40"/>
        <w:ind w:left="283"/>
      </w:pPr>
      <w:r>
        <w:rPr>
          <w:rFonts w:ascii="Calibri" w:hAnsi="Calibri"/>
          <w:b/>
          <w:color w:val="4A6B25"/>
          <w:sz w:val="20"/>
        </w:rPr>
        <w:t xml:space="preserve">3. </w:t>
      </w:r>
      <w:r>
        <w:rPr>
          <w:rFonts w:ascii="Calibri" w:hAnsi="Calibri"/>
          <w:b w:val="0"/>
          <w:color w:val="3A4A28"/>
          <w:sz w:val="20"/>
        </w:rPr>
        <w:t>Brazil macro headwinds — elevated Selic rates, BRL depreciation, and potential U.S.-Brazil trade tensions create a hostile operating environment for a fintech dependent on SMB credit demand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StoneCo's core payments processing business has meaningful defensive moats against AI disruption — physical POS infrastructure deployed at merchant locations, regulatory compliance requirements in Brazilian financial services, switching costs for integrated payment-banking-credit relationships, and the inherent need for financial intermediation that AI cannot displace [1]. However, AI creates real exposure in adjacent business lines: AI-powered credit underwriting from competitors could erode StoneCo's credit margins, AI chatbots and automated financial tools could reduce the value of StoneCo's software/banking products, and AI-enabled marketing platforms could compete with merchant engagement tools. The Brazilian fintech market is evolving rapidly, and competitors like Nubank are investing heavily in AI capabilities. AI Opportunity (0/1): No quantifiable AI revenue. While the board appointment of Antonio Silveira (CTO of AI company Attentive) signals strategic interest, StoneCo has not shipped AI products to customers or reported AI-driven revenue or cost savings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StoneCo Q2 2026 Earnings — EPS $0.47, Revenue R$3.68B, Credit Quality Deterioration (90+ NPLs ~7%, Cost of Risk 21.9%), FY2026 Guidance Maintained — Quiver Quantitative, Investing.com, August 2026</w:t>
      </w:r>
    </w:p>
    <w:p>
      <w:pPr>
        <w:spacing w:before="20" w:after="20"/>
        <w:ind w:left="170"/>
      </w:pPr>
      <w:r>
        <w:rPr>
          <w:rFonts w:ascii="Calibri" w:hAnsi="Calibri"/>
          <w:b/>
          <w:color w:val="4A6B25"/>
          <w:sz w:val="15"/>
        </w:rPr>
        <w:t xml:space="preserve">2. </w:t>
      </w:r>
      <w:r>
        <w:rPr>
          <w:rFonts w:ascii="Calibri" w:hAnsi="Calibri"/>
          <w:b w:val="0"/>
          <w:color w:val="3A4A28"/>
          <w:sz w:val="17"/>
        </w:rPr>
        <w:t>StoneCo Q1 2026 Earnings — Revenue R$3.58B (+13%), Net Income R$1.78B (+247%), Adj Gross Profit R$1.49B, Special Dividend Declared — StockTitan, May 2026</w:t>
      </w:r>
    </w:p>
    <w:p>
      <w:pPr>
        <w:spacing w:before="20" w:after="20"/>
        <w:ind w:left="170"/>
      </w:pPr>
      <w:r>
        <w:rPr>
          <w:rFonts w:ascii="Calibri" w:hAnsi="Calibri"/>
          <w:b/>
          <w:color w:val="4A6B25"/>
          <w:sz w:val="15"/>
        </w:rPr>
        <w:t xml:space="preserve">3. </w:t>
      </w:r>
      <w:r>
        <w:rPr>
          <w:rFonts w:ascii="Calibri" w:hAnsi="Calibri"/>
          <w:b w:val="0"/>
          <w:color w:val="3A4A28"/>
          <w:sz w:val="17"/>
        </w:rPr>
        <w:t>StoneCo Leadership &amp; Culture — CEO Mateus Schwening (March 2026), CFO-to-CEO Transition, 6 New Directors in 3 Years, Board AI Appointment, Labor Court Dispute — Globe and Mail, Simply Wall St,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 STNE Key Statistics: Forward P/E 4.92x, PEG 0.33, D/E 129.45%, ROE 30.65%, Profit Margin 25.37%, Stock Price $9.36,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