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STRC</w:t>
      </w:r>
      <w:r>
        <w:rPr>
          <w:rFonts w:ascii="Calibri" w:hAnsi="Calibri"/>
          <w:b/>
          <w:color w:val="1A2010"/>
          <w:sz w:val="40"/>
        </w:rPr>
        <w:t xml:space="preserve">  Strategy Inc.</w:t>
      </w:r>
    </w:p>
    <w:p>
      <w:pPr>
        <w:spacing w:after="120"/>
      </w:pPr>
      <w:r>
        <w:rPr>
          <w:rFonts w:ascii="Calibri" w:hAnsi="Calibri"/>
          <w:b/>
          <w:color w:val="6E8450"/>
          <w:sz w:val="18"/>
        </w:rPr>
        <w:t>GROWTH SLEEVE · 2026-09-20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Bitcoin Treasury · NASDAQ · United States</w:t>
      </w:r>
    </w:p>
    <w:p>
      <w:pPr>
        <w:spacing w:after="80"/>
      </w:pPr>
      <w:r>
        <w:rPr>
          <w:rFonts w:ascii="Calibri" w:hAnsi="Calibri"/>
          <w:b w:val="0"/>
          <w:color w:val="3A4A28"/>
          <w:sz w:val="20"/>
        </w:rPr>
        <w:t>Strategy Inc. (formerly MicroStrategy) operates as the world's largest Bitcoin treasury company and enterprise analytics software provider. STRC is the Variable Rate Series A Perpetual Stretch Preferred Stock, paying an annualized variable dividend of approximately 12% on $100 stated amount. The company holds 843,775+ BTC and provides the Strategy ONE AI-powered analytics platform. FY2025 software revenue was $477M (+3% YoY). STRC trades at $98.51, a 1.5% discount to par. MSTR common market cap is approximately $61B.</w:t>
      </w:r>
    </w:p>
    <w:p>
      <w:r>
        <w:rPr>
          <w:rFonts w:ascii="Calibri" w:hAnsi="Calibri"/>
          <w:b/>
          <w:color w:val="6E8450"/>
          <w:sz w:val="18"/>
        </w:rPr>
        <w:t>1,539 Employees · https://www.strategy.com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Strategy Inc. pioneered the corporate Bitcoin treasury model, accumulating 843,775+ BTC and raising over $25B in capital through innovative structured products (STRC preferred, STRK convertibles, ATM equity programs) — a genuine financial innovation that created an entirely new corporate model imitated by dozens of companies [1]. The February 2025 rebrand from MicroStrategy to Strategy signaled full commitment to this transformation. AI Deployment (1/2): Strategy ONE AI-powered enterprise analytics platform ships with AI-driven dashboards and natural-language query capabilities. Subscription Services revenue demonstrated strong growth in recent quarters, showing traction in the AI-enhanced cloud platform [1]. Market Share (1/2): Strategy is the world's largest corporate Bitcoin holder by wide margin (~3.2% of all Bitcoin in circulation), and STRC is the largest preferred stock globally by market cap. However, the legacy BI software business has lost share to Tableau, Power BI, and Looker over the past decade [1]. Product Pipeline (1/2): Continued Bitcoin accumulation programs through ATM offerings provide clear capital deployment visibility. Software pipeline evolution through Strategy ONE cloud migration continues. R&amp;D Intensity (0/1): R&amp;D spending is below industry average for an enterprise software company, as capital allocation overwhelmingly favors Bitcoin purchases over product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Strategy's effective mission is Bitcoin accumulation and advocacy — Michael Saylor's vision of Bitcoin as the ultimate long-term digital store of value is deeply held but narrow and self-serving rather than a transformative purpose that invites broad participation and benefits others beyond financial gains [1]. Community Impact (1/2): Bitcoin advocacy has created educational resources and a growing community of corporate Bitcoin adopters, and the company's structured products (STRC, STRK) provide unique income and exposure vehicles for investors. However, this primarily serves financial interests rather than broader community benefit. Employee Retention (0/2): Glassdoor rating of 2.8/5.0 (27% below IT industry average) with reports of toxic engineering leadership and a culture of fear where dissent is punished — a significant ongoing red flag [2]. Insider Buying (1/2): CEO Phong Le and multiple directors have made meaningful personal purchases totaling $4.2M+ over the past 12 months, signaling management conviction in the capital structure's sustainability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on available metrics, with significant GAAP distortions from Bitcoin fair-value accounting under ASU 2023-08. D/E of 14.9% is well below the 70% target, benefiting from Bitcoin marked at fair value inflating the equity base [3]. ROE of -63.6% scores 0, driven by massive Bitcoin mark-to-market losses in the trailing period (trailing EPS -$99.16). Revenue growth YoY of 6.9% is below the 10% target but above the -20% floor. Revenue 5yr CAGR of approximately -1.5% reflects the stagnant $477M software business. Forward P/E of 3.11 for MSTR common (used as company-level metric) is well below the 20 target, driven by forward EPS estimates of $49.49 that assume Bitcoin appreciation. Profit margin is at 0% (floor). PEG ratio of 2.85 sits just below the 3.0 floor. STRC at $98.51 has recovered from $88.39 in July, now trading at a 1.5% discount to $100 par — a meaningful improvement. Liquidity floor easily cleared at ~$187M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Strategy Inc. under Michael Saylor's vision exhibits a paradoxically finite game despite the long-term nature of Bitcoin. The singular focus on Bitcoin accumulation through aggressive leverage is a concentrated bet on a specific financial outcome rather than an enduring organizational purpose. The toxic Glassdoor culture (2.8/5.0) and neglect of the software business reveal short-term optimization over organizational health. The extraordinary conviction and courage in capital deployment deserve credit, but the overall picture is of a company playing to win one bet, not to keep playing indefinitely.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Saylor's Bitcoin thesis — that Bitcoin is the ultimate store of value and corporations should hold it as treasury — is deeply held and consistent since 2020 [1]. It has attracted followers and created a corporate Bitcoin movement. However, 'accumulate Bitcoin' is a financial thesis, not a Just Cause in Sinek's framework. It does not describe a future state that benefits others beyond financial gains or invite broad participation in building something transcendent.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rating of 2.8/5.0 with specific complaints about 'toxic engineering leadership' and 'a culture of fear where dissent is punished, which has killed innovation and critical thinking' [2]. This is the antithesis of Sinek's Circle of Safety. When employees cannot challenge leadership or take risks without fear, the organization is playing a finite game regardless of its stated ambitions.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Strategy's competitive framing is maximalist — Saylor consistently positions Bitcoin as categorically superior to gold, real estate, bonds, and all other assets rather than acknowledging rivals' strengths or learning from competitors [1]. In the BI software space, the company has largely ceded ground without acknowledging or learning from competitors' advantages.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a stagnant enterprise BI software company to the world's largest Bitcoin treasury company was one of the most dramatic corporate transformations in public market history [1]. Whether driven by a Just Cause or financial pragmatism is debatable, but the willingness to fundamentally redefine the company's identity, balance sheet, and capital structure is undeniable. The creation of structured products (STRC preferred, STRK convertibles) represents continued financial engineering evolution.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Saylor has demonstrated a pattern of extraordinary courage — taking on billions in debt to buy Bitcoin, holding through the 2022 crypto winter (Bitcoin from $69K to $16K), stepping down as CEO to focus on Bitcoin strategy, creating STRC preferred stock with commitments to 12% dividends, and raising $25B+ in a single year [1][3]. CEO Phong Le and multiple directors backed the thesis with $4.2M+ in personal capital. This represents multiple examples of choosing long-term conviction over short-term safety, though narrowly concentrated on one financial bet.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STRC is Strategy Inc.'s variable rate preferred stock offering approximately 12.2% current yield ($12 annual dividend on $98.51 market price) backed by the capital structure of the world's largest corporate Bitcoin holder (843,775+ BTC) [1][3]. The preferred has recovered from $88.39 to $98.51 since July, now trading at just a 1.5% discount to $100 par, reflecting improved market confidence in dividend sustainability. FY2025 software revenue of $477M grew 3% with accelerating Subscription Services growth from the Strategy ONE AI platform. Insider purchases of $4.2M+ by CEO Le and multiple directors signal management conviction in the capital structure [3]. At 12.2% yield with potential capital appreciation back to par, STRC offers an attractive income instrument for investors comfortable with Bitcoin correlation risk.</w:t>
      </w:r>
    </w:p>
    <w:p>
      <w:pPr>
        <w:spacing w:after="120"/>
      </w:pPr>
      <w:r>
        <w:rPr>
          <w:rFonts w:ascii="Calibri" w:hAnsi="Calibri"/>
          <w:b w:val="0"/>
          <w:color w:val="3A4A28"/>
          <w:sz w:val="20"/>
        </w:rPr>
        <w:t>The bear case centers on extraordinary leverage and single-asset concentration. STRC's 12% preferred dividend costs approximately $1B+ annually against only $477M in stagnant software revenue — the gap must be funded by capital markets activities that depend on favorable Bitcoin prices and investor appetite for additional equity/debt issuance [1][3]. Trailing EPS of -$99.16 reflects $12.77B+ in Bitcoin mark-to-market GAAP losses, and while forward EPS of $49.49 assumes Bitcoin appreciation, any sustained BTC decline below the company's cost basis could impair dividend coverage. The Glassdoor rating of 2.8/5.0 with reports of toxic leadership culture suggests organizational decay in the software business that provides the only operational revenue [2]. Revenue 5yr CAGR of -1.5% demonstrates the software business is slowly eroding while all strategic focus is on Bitcoin accumulation. Bitcoin's historical 50%+ drawdowns represent the primary existential risk to STRC's dividend and recovery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Bitcoin price appreciation above Strategy's ~$75K average cost basis would expand the equity cushion protecting STRC's preferred dividend and drive the stock back to or above $100 par value [1]</w:t>
      </w:r>
    </w:p>
    <w:p>
      <w:pPr>
        <w:spacing w:before="40" w:after="40"/>
        <w:ind w:left="283"/>
      </w:pPr>
      <w:r>
        <w:rPr>
          <w:rFonts w:ascii="Calibri" w:hAnsi="Calibri"/>
          <w:b/>
          <w:color w:val="4A6B25"/>
          <w:sz w:val="20"/>
        </w:rPr>
        <w:t xml:space="preserve">2. </w:t>
      </w:r>
      <w:r>
        <w:rPr>
          <w:rFonts w:ascii="Calibri" w:hAnsi="Calibri"/>
          <w:b w:val="0"/>
          <w:color w:val="3A4A28"/>
          <w:sz w:val="20"/>
        </w:rPr>
        <w:t>Strategy ONE cloud migration and Subscription Services growth demonstrate viability of the non-Bitcoin revenue base that ultimately supports STRC's dividend coverage [1]</w:t>
      </w:r>
    </w:p>
    <w:p>
      <w:pPr>
        <w:spacing w:before="40" w:after="40"/>
        <w:ind w:left="283"/>
      </w:pPr>
      <w:r>
        <w:rPr>
          <w:rFonts w:ascii="Calibri" w:hAnsi="Calibri"/>
          <w:b/>
          <w:color w:val="4A6B25"/>
          <w:sz w:val="20"/>
        </w:rPr>
        <w:t xml:space="preserve">3. </w:t>
      </w:r>
      <w:r>
        <w:rPr>
          <w:rFonts w:ascii="Calibri" w:hAnsi="Calibri"/>
          <w:b w:val="0"/>
          <w:color w:val="3A4A28"/>
          <w:sz w:val="20"/>
        </w:rPr>
        <w:t>Continued insider buying by CEO Le and directors ($4.2M+) and STRC's recovery from $88 to $98.51 signal improving market confidence in the capital structure's sustainability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STRC's 12% preferred dividend requires ~$1B+ annually against only $477M in software revenue — the coverage gap depends on capital markets access that a Bitcoin price decline could shut off [1][3]</w:t>
      </w:r>
    </w:p>
    <w:p>
      <w:pPr>
        <w:spacing w:before="40" w:after="40"/>
        <w:ind w:left="283"/>
      </w:pPr>
      <w:r>
        <w:rPr>
          <w:rFonts w:ascii="Calibri" w:hAnsi="Calibri"/>
          <w:b/>
          <w:color w:val="4A6B25"/>
          <w:sz w:val="20"/>
        </w:rPr>
        <w:t xml:space="preserve">2. </w:t>
      </w:r>
      <w:r>
        <w:rPr>
          <w:rFonts w:ascii="Calibri" w:hAnsi="Calibri"/>
          <w:b w:val="0"/>
          <w:color w:val="3A4A28"/>
          <w:sz w:val="20"/>
        </w:rPr>
        <w:t>Organizational culture deterioration at 2.8/5.0 Glassdoor with toxic leadership reports threatens the software business viability that provides Strategy's only operational revenue stream [2]</w:t>
      </w:r>
    </w:p>
    <w:p>
      <w:pPr>
        <w:spacing w:before="40" w:after="40"/>
        <w:ind w:left="283"/>
      </w:pPr>
      <w:r>
        <w:rPr>
          <w:rFonts w:ascii="Calibri" w:hAnsi="Calibri"/>
          <w:b/>
          <w:color w:val="4A6B25"/>
          <w:sz w:val="20"/>
        </w:rPr>
        <w:t xml:space="preserve">3. </w:t>
      </w:r>
      <w:r>
        <w:rPr>
          <w:rFonts w:ascii="Calibri" w:hAnsi="Calibri"/>
          <w:b w:val="0"/>
          <w:color w:val="3A4A28"/>
          <w:sz w:val="20"/>
        </w:rPr>
        <w:t>Bitcoin's historical 50%+ drawdowns represent existential risk — a sustained BTC decline below cost basis could trigger capital structure stress, preferred dividend suspension, and STRC trading at deep discounts to par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Strategy Inc.'s dual business creates a split AI risk profile. The Bitcoin treasury — which constitutes over 99% of enterprise value at 843,775+ BTC — is structurally immune to AI disruption; Bitcoin's value proposition as a decentralized store of value is not threatened by artificial intelligence [1]. However, the legacy enterprise analytics business (Strategy ONE, ~$477M annual revenue) faces significant AI disruption pressure from AI-native competitors like Databricks, Snowflake, and Microsoft Copilot-integrated Power BI that are eroding market share in a segment already stagnant. Since the software business generates cash flow needed to service STRC's 12% preferred dividend, its AI vulnerability creates indirect risk for preferred holders. AI Opportunity (1/1): Strategy ONE integrates AI technologies for enterprise analytics with natural-language query capabilities, and Subscription Services growth indicates customer adoption of the AI-enhanced cloud platform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Strategy Inc. Financial Results — 843,775+ BTC held, $477M FY2025 Revenue (+3%), Strategy ONE AI Platform, Subscription Services Growth, 2025-2026</w:t>
      </w:r>
    </w:p>
    <w:p>
      <w:pPr>
        <w:spacing w:before="20" w:after="20"/>
        <w:ind w:left="170"/>
      </w:pPr>
      <w:r>
        <w:rPr>
          <w:rFonts w:ascii="Calibri" w:hAnsi="Calibri"/>
          <w:b/>
          <w:color w:val="4A6B25"/>
          <w:sz w:val="15"/>
        </w:rPr>
        <w:t xml:space="preserve">2. </w:t>
      </w:r>
      <w:r>
        <w:rPr>
          <w:rFonts w:ascii="Calibri" w:hAnsi="Calibri"/>
          <w:b w:val="0"/>
          <w:color w:val="3A4A28"/>
          <w:sz w:val="17"/>
        </w:rPr>
        <w:t>Glassdoor Reviews — Strategy Inc. Employee Reviews, 2.8/5.0 Rating, Toxic Culture Concerns,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STRC Preferred Stock Market Data — $98.51 Price, 12.18% Yield, $12 Annual Dividend, $100 Par; Insider Buying $4.2M+, Yahoo Finance / Investing.com,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