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STX</w:t>
      </w:r>
      <w:r>
        <w:rPr>
          <w:rFonts w:ascii="Calibri" w:hAnsi="Calibri"/>
          <w:b/>
          <w:color w:val="1A2010"/>
          <w:sz w:val="40"/>
        </w:rPr>
        <w:t xml:space="preserve">  Seagate Technology Holdings PLC</w:t>
      </w:r>
    </w:p>
    <w:p>
      <w:pPr>
        <w:spacing w:after="120"/>
      </w:pPr>
      <w:r>
        <w:rPr>
          <w:rFonts w:ascii="Calibri" w:hAnsi="Calibri"/>
          <w:b/>
          <w:color w:val="6E8450"/>
          <w:sz w:val="18"/>
        </w:rPr>
        <w:t>GROWTH SLEEVE · 2026-08-30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United States</w:t>
      </w:r>
    </w:p>
    <w:p>
      <w:pPr>
        <w:spacing w:after="80"/>
      </w:pPr>
      <w:r>
        <w:rPr>
          <w:rFonts w:ascii="Calibri" w:hAnsi="Calibri"/>
          <w:b w:val="0"/>
          <w:color w:val="3A4A28"/>
          <w:sz w:val="20"/>
        </w:rPr>
        <w:t>Seagate Technology is the world's leading manufacturer of hard disk drives (HDDs), forming a duopoly with Western Digital. The company commercialized Heat-Assisted Magnetic Recording (HAMR) technology through its Mozaic platform, enabling next-generation high-capacity storage for AI data centers and cloud infrastructure. FY2026 delivered $12.2B revenue (+34% YoY), record $3.1B FCF, and non-GAAP EPS of $15.58 (+92%). CEO William Davis succeeded Dave Mosley (now Chairman) in January 2025. Headquartered in Dublin, Ireland with primary operations in the U.S. and Singapore. Market cap approximately $186B.</w:t>
      </w:r>
    </w:p>
    <w:p>
      <w:r>
        <w:rPr>
          <w:rFonts w:ascii="Calibri" w:hAnsi="Calibri"/>
          <w:b/>
          <w:color w:val="6E8450"/>
          <w:sz w:val="18"/>
        </w:rPr>
        <w:t>30,000 Employees · https://www.seagate.com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Seagate successfully commercialized HAMR technology through its Mozaic platform — a 15+ year R&amp;D bet now validated by five major cloud customer qualifications and record-breaking FY2026 results [1]. Full-year FY2026 delivered $12.2B revenue (+34% YoY), record non-GAAP EPS of $15.58 (+92%), and record $3.1B in free cash flow [2]. Data center revenue surged 57% YoY, accounting for ~90% of exabyte shipments, driven by AI infrastructure demand [1]. AI Deployment (1/2): Seagate deploys AI internally through smart manufacturing, AI-enhanced automated vision systems, and autonomous factory monitoring. The company built TalentLink, an AI-powered internal talent marketplace for workforce development [3]. HAMR drives directly enable AI workloads but no quantified AI cost savings are reported. Market Share (2/2): Seagate is one of two vertically integrated HDD manufacturers globally (duopoly with Western Digital), with dominant positioning in mass-capacity nearline storage. The company was 'sold out through 2026' per management as AI data center demand exceeded supply [1][2]. Pipeline (2/2): Mozaic HAMR platform provides a clear multi-generational roadmap to 50TB+ drives. Management cited agentic AI, inference workloads, and multimodal applications driving exponential data growth, ensuring demand visibility well beyond the current product cycle [2]. R&amp;D Intensity (1/1): 15+ years of sustained HAMR investment through deep cyclical downturns demonstrates above-industry R&amp;D commitment, with technology leadership now validated by commercial success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Seagate's vision of 'crafting the datasphere' connects the company to a clear purpose around enabling the world's data storage needs, specific to what they do and differentiated from generic tech company missions, though it doesn't articulate a transformative future vision [3]. Community Impact (1/2): MSCI ESG rating of A, Sustainalytics ESG Risk score of 11 (Low, 2nd percentile), over 50% renewable energy consumption across operations, circularity program that extended the life of 1.19M hard drives preventing 553 metric tons of e-waste in FY2023 [4]. Employee Retention (1/2): Glassdoor rating of 3.8/5 based on 2,924 reviews with culture, benefits, and coworkers cited as pros [3]. The AI-powered TalentLink internal mobility platform demonstrates investment in employee development. However, senior leadership and frequent staff reductions are cited as cons. Insider Buying (0/2): No specific insider buying data found for new CEO William Davis or the broader leadership team.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Seagate's FY2026 was a record year — $12.2B revenue (+34% YoY), non-GAAP EPS of $15.58 (+92%), and record $3.1B free cash flow [2]. Data center revenue surged 57% as AI demand drove record exabyte shipments [1]. Profit margin of 21.60% exceeds the 20% target. Forward PEG of 0.46 is exceptional against 73% 3-year EPS growth forecast (2x weight, scores 1.0) [5]. ROE of 1,788% technically scores 1.0 but reflects a minimal equity base from cumulative buybacks rather than genuine capital efficiency (2x weight for growth) [5]. The primary drags are D/E of 382%, well above the 300% floor (scoring 0 on this metric) due to aggressive historical buybacks eroding the equity base; Forward P/E of 35.54 is elevated relative to the 20 target (scoring 0.61); and 5-year revenue CAGR near 0.6% due to the deep FY2024 cyclical trough ($6.55B) between strong FY2022 ($11.66B) and FY2026 ($12.2B). Liquidity easily clears: 4.81M avg vol x $868.26 = $4.2B.</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Seagate demonstrates meaningful infinite game thinking — the patient 15+ year investment in HAMR technology exemplifies long-term commitment to capability building over quarterly optimization. The company endured a deep cyclical downturn (FY2024 revenue down 44% from FY2022) without abandoning its technology roadmap, and FY2026's record $12.2B revenue validates this patience [2]. However, the aggressive financial engineering (382% D/E from cumulative buybacks), the $300M Huawei export control penalty (2023), and the CEO transition from Mosley to Davis create uncertainty about whether this long-term orientation will persist.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Seagate's purpose of 'crafting the datasphere' is validated by four decades of execution through multiple technology transitions — from early PC hard drives through cloud computing to AI-era mass storage [3]. The commitment to HAMR technology through 15+ years of development demonstrates that the company's identity as a storage infrastructure enabler is deeply embedded. FY2026's record results validate this cause-driven persistence. However, the cause lacks the aspirational quality of truly transformative visions — it's fundamentally about selling hard drives, even if those drives are essential AI infrastructure.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3.8/5 rating across 2,924 reviews with culture, benefits, and coworkers cited as positives indicates adequate employee satisfaction [3]. The TalentLink AI-powered internal talent marketplace demonstrates trust in employees and investment in internal mobility. However, senior leadership quality and frequent staff reductions are consistently cited as concerns. The CEO transition from Mosley (30-year tenure) to Davis in January 2025 introduces organizational uncertainty, though the planned nature of the transition shows institutional maturity.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Seagate operates in a constructive duopoly with Western Digital where both companies benefit from industry rationalization rather than destructive price competition [1]. The duopoly structure has enabled both to invest in next-generation technologies (HAMR for Seagate, energy-assisted PMR for WD). SSD manufacturers serve as worthy rivals pushing HDD to innovate on capacity, power efficiency, and cost/TB — HAMR was developed precisely because of the SSD competitive threat.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HAMR bet represents a meaningful technological transformation — fundamentally changing how data is recorded on magnetic media through heat-assisted magnetic recording after 15+ years of R&amp;D investment [1][3]. The company strategically focused on mass-capacity nearline HDD for data centers, effectively ceding the consumer/client space to flash storage. However, Seagate has remained fundamentally a hard drive company since its 1978 founding — impressive technological persistence but not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15+ year investment in HAMR technology through multiple down cycles, including maintaining R&amp;D through the FY2024 revenue trough ($6.55B, down 44% from FY2022), shows genuine courage to prioritize long-term capability over short-term cost-cutting [1][2]. The decision to push HAMR commercialization when many analysts questioned HDD's future demonstrates conviction now validated by record FY2026 results ($12.2B revenue, $3.1B FCF). However, the $300M Huawei export control penalty (2023) for shipping 7.4M drives in violation of BIS Entity List restrictions revealed willingness to push compliance boundaries for near-term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Seagate is experiencing a transformative AI-driven growth cycle validated by record FY2026 results — $12.2B revenue (+34% YoY), non-GAAP EPS of $15.58 (+92%), and record $3.1B free cash flow [2]. HAMR technology via the Mozaic platform is now fully commercialized with five major cloud customers, providing a multi-generational product roadmap to 50TB+ drives that cement HDD's cost/TB advantage for AI mass-capacity storage [1]. Data center revenue surged 57% and accounts for ~90% of exabyte shipments as agentic AI, inference workloads, and multimodal applications drive exponential data creation [1][2]. Forward PEG of 0.46 against 73% 3-year EPS growth forecast suggests the stock remains attractively valued despite the massive re-rating [5]. The HDD duopoly with Western Digital provides structural pricing power, and profit margin of 21.6% demonstrates operating leverage.</w:t>
      </w:r>
    </w:p>
    <w:p>
      <w:pPr>
        <w:spacing w:after="120"/>
      </w:pPr>
      <w:r>
        <w:rPr>
          <w:rFonts w:ascii="Calibri" w:hAnsi="Calibri"/>
          <w:b w:val="0"/>
          <w:color w:val="3A4A28"/>
          <w:sz w:val="20"/>
        </w:rPr>
        <w:t>The bear case centers on cyclicality, valuation, and balance sheet risk. Seagate's revenue collapsed 44% from $11.66B (FY2022) to $6.55B (FY2024), demonstrating the extreme demand cyclicality inherent in HDD manufacturing — FY2026's record year does not eliminate the risk of another severe downturn when AI capex decelerates [5]. The 82x trailing P/E and 35.5x forward P/E at $868 per share prices in substantial continued growth; any revenue deceleration or shift toward flash storage for AI workloads could trigger severe multiple compression given the 2.07 beta. D/E of 382% remains well above the 300% floor, reflecting cumulative buyback-driven equity erosion that leaves minimal balance sheet cushion for the next downturn. The $300M Huawei export control penalty (2023) exposed governance weaknesses in compliance oversight [4]. The CEO transition from 30-year veteran Mosley to William Davis in January 2025 introduces leadership uncertainty. 5-year revenue CAGR of just 0.6% reminds investors that the current boom follows an equally dramatic bust. The MISALIGNED faith alignment score (-49) from LGBT Activism creates screening constraints for faith-oriented portfolios despite 13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HAMR/Mozaic platform scaling with five cloud customer qualifications driving record margins — FY2026 delivered $3.1B FCF and management cited ongoing demand exceeding supply, suggesting pricing power persists into FY2027 [1][2]</w:t>
      </w:r>
    </w:p>
    <w:p>
      <w:pPr>
        <w:spacing w:before="40" w:after="40"/>
        <w:ind w:left="283"/>
      </w:pPr>
      <w:r>
        <w:rPr>
          <w:rFonts w:ascii="Calibri" w:hAnsi="Calibri"/>
          <w:b/>
          <w:color w:val="4A6B25"/>
          <w:sz w:val="20"/>
        </w:rPr>
        <w:t xml:space="preserve">2. </w:t>
      </w:r>
      <w:r>
        <w:rPr>
          <w:rFonts w:ascii="Calibri" w:hAnsi="Calibri"/>
          <w:b w:val="0"/>
          <w:color w:val="3A4A28"/>
          <w:sz w:val="20"/>
        </w:rPr>
        <w:t>AI data center storage demand sustaining 30%+ revenue growth as hyperscalers expand capacity for agentic AI, inference workloads, and multimodal content, with Seagate uniquely positioned in the HDD duopoly [1][2]</w:t>
      </w:r>
    </w:p>
    <w:p>
      <w:pPr>
        <w:spacing w:before="40" w:after="40"/>
        <w:ind w:left="283"/>
      </w:pPr>
      <w:r>
        <w:rPr>
          <w:rFonts w:ascii="Calibri" w:hAnsi="Calibri"/>
          <w:b/>
          <w:color w:val="4A6B25"/>
          <w:sz w:val="20"/>
        </w:rPr>
        <w:t xml:space="preserve">3. </w:t>
      </w:r>
      <w:r>
        <w:rPr>
          <w:rFonts w:ascii="Calibri" w:hAnsi="Calibri"/>
          <w:b w:val="0"/>
          <w:color w:val="3A4A28"/>
          <w:sz w:val="20"/>
        </w:rPr>
        <w:t>Forward PEG of 0.46 against 73% 3-year EPS growth forecast suggests continued re-rating potential if HAMR adoption accelerates and AI storage demand sustains the current trajectory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demand cyclicality — revenue swung from $11.66B (FY2022) to $6.55B (FY2024) to $12.2B (FY2026), and the next AI capex deceleration could trigger an equally severe correction given 382% D/E and 2.07 beta [5]</w:t>
      </w:r>
    </w:p>
    <w:p>
      <w:pPr>
        <w:spacing w:before="40" w:after="40"/>
        <w:ind w:left="283"/>
      </w:pPr>
      <w:r>
        <w:rPr>
          <w:rFonts w:ascii="Calibri" w:hAnsi="Calibri"/>
          <w:b/>
          <w:color w:val="4A6B25"/>
          <w:sz w:val="20"/>
        </w:rPr>
        <w:t xml:space="preserve">2. </w:t>
      </w:r>
      <w:r>
        <w:rPr>
          <w:rFonts w:ascii="Calibri" w:hAnsi="Calibri"/>
          <w:b w:val="0"/>
          <w:color w:val="3A4A28"/>
          <w:sz w:val="20"/>
        </w:rPr>
        <w:t>Valuation risk — at 82x trailing P/E and $186B market cap, Seagate is priced for sustained AI-driven growth; any revenue deceleration, margin compression, or SSD competitive shift could trigger significant multiple contraction [5]</w:t>
      </w:r>
    </w:p>
    <w:p>
      <w:pPr>
        <w:spacing w:before="40" w:after="40"/>
        <w:ind w:left="283"/>
      </w:pPr>
      <w:r>
        <w:rPr>
          <w:rFonts w:ascii="Calibri" w:hAnsi="Calibri"/>
          <w:b/>
          <w:color w:val="4A6B25"/>
          <w:sz w:val="20"/>
        </w:rPr>
        <w:t xml:space="preserve">3. </w:t>
      </w:r>
      <w:r>
        <w:rPr>
          <w:rFonts w:ascii="Calibri" w:hAnsi="Calibri"/>
          <w:b w:val="0"/>
          <w:color w:val="3A4A28"/>
          <w:sz w:val="20"/>
        </w:rPr>
        <w:t>Export control and compliance risk — the $300M DOJ/BIS penalty for shipping 7.4M drives to Huawei in violation of Entity List restrictions (2023) demonstrates governance gaps that could recur as US-China tech restrictions intensify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Seagate is a direct beneficiary of AI expansion — every AI model requires massive data storage for training datasets, inference logs, and generated content. The explosion of AI data center buildouts drove FY2026 revenue from $9.1B to $12.2B (+34%), with data center revenue surging 57% YoY and accounting for ~90% of exabyte shipments [1][2]. Management cited 'exponential growth in data creation and storage needs' from inference-driven workloads, agentic AI, and multimodal applications [2]. AI structurally cannot displace the need for physical storage media; it can only increase demand. HAMR drives are qualified with five major cloud customers specifically for AI workloads, and the HDD duopoly provides pricing power. The one risk is long-term SSD price declines narrowing HDD's cost/TB advantage for some AI workloads. AI Opportunity (1/1): Seagate generates direct AI-driven revenue — Mozaic HAMR drives ship to hyperscale cloud customers for AI workloads, and AI data center demand is the primary growth driver behind the 34% YoY revenue growth, record margins, and record $3.1B FCF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Seagate Technology Q3 FY2026 Earnings — $3.11B Revenue (+44% YoY), 47.0% Non-GAAP Gross Margin, Data Center Revenue +57%, Five Cloud HAMR Qualifications, April 2026</w:t>
      </w:r>
    </w:p>
    <w:p>
      <w:pPr>
        <w:spacing w:before="20" w:after="20"/>
        <w:ind w:left="170"/>
      </w:pPr>
      <w:r>
        <w:rPr>
          <w:rFonts w:ascii="Calibri" w:hAnsi="Calibri"/>
          <w:b/>
          <w:color w:val="4A6B25"/>
          <w:sz w:val="15"/>
        </w:rPr>
        <w:t xml:space="preserve">2. </w:t>
      </w:r>
      <w:r>
        <w:rPr>
          <w:rFonts w:ascii="Calibri" w:hAnsi="Calibri"/>
          <w:b w:val="0"/>
          <w:color w:val="3A4A28"/>
          <w:sz w:val="17"/>
        </w:rPr>
        <w:t>Seagate Technology FY2026 Full-Year Results — $12.2B Revenue (+34%), $15.58 Non-GAAP EPS (+92%), Record $3.1B FCF, AI-Driven Demand Growth, July 2026</w:t>
      </w:r>
    </w:p>
    <w:p>
      <w:pPr>
        <w:spacing w:before="20" w:after="20"/>
        <w:ind w:left="170"/>
      </w:pPr>
      <w:r>
        <w:rPr>
          <w:rFonts w:ascii="Calibri" w:hAnsi="Calibri"/>
          <w:b/>
          <w:color w:val="4A6B25"/>
          <w:sz w:val="15"/>
        </w:rPr>
        <w:t xml:space="preserve">3. </w:t>
      </w:r>
      <w:r>
        <w:rPr>
          <w:rFonts w:ascii="Calibri" w:hAnsi="Calibri"/>
          <w:b w:val="0"/>
          <w:color w:val="3A4A28"/>
          <w:sz w:val="17"/>
        </w:rPr>
        <w:t>Seagate Technology Corporate Website — HAMR/Mozaic Platform, CEO Dave Mosley (Chairman) and William Davis (CEO), TalentLink AI Talent Marketplace, Glassdoor 3.8/5 (2,924 Reviews),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Seagate ESG and Compliance — $300M DOJ/BIS Huawei Export Penalty (2023), MSCI A Rating, Sustainalytics 11 (Low Risk), 50%+ Renewable Energy, FY2025 Sustainability Report</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GuruFocus — STX Key Statistics: $868.26 Price, Forward P/E 35.54, PEG 0.46, D/E 382%, ROE 1,788%, Profit Margin 21.6%,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