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STZ</w:t>
      </w:r>
      <w:r>
        <w:rPr>
          <w:rFonts w:ascii="Calibri" w:hAnsi="Calibri"/>
          <w:b/>
          <w:color w:val="1A2010"/>
          <w:sz w:val="40"/>
        </w:rPr>
        <w:t xml:space="preserve">  Constellation Brands, Inc.</w:t>
      </w:r>
    </w:p>
    <w:p>
      <w:pPr>
        <w:spacing w:after="120"/>
      </w:pPr>
      <w:r>
        <w:rPr>
          <w:rFonts w:ascii="Calibri" w:hAnsi="Calibri"/>
          <w:b/>
          <w:color w:val="6E8450"/>
          <w:sz w:val="18"/>
        </w:rPr>
        <w:t>DIVIDEND SLEEVE · 2026-09-09 · Inspire: -60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Staples · Beverages - Alcoholic · NYSE · United States</w:t>
      </w:r>
    </w:p>
    <w:p>
      <w:pPr>
        <w:spacing w:after="80"/>
      </w:pPr>
      <w:r>
        <w:rPr>
          <w:rFonts w:ascii="Calibri" w:hAnsi="Calibri"/>
          <w:b w:val="0"/>
          <w:color w:val="3A4A28"/>
          <w:sz w:val="20"/>
        </w:rPr>
        <w:t>Constellation Brands is a leading producer and marketer of premium beer, wine, and spirits in the U.S. market. The company's beer portfolio — anchored by Modelo Especial (the #1 beer brand in America), Corona Extra, and Pacifico — generates approximately 82% of net sales and drives essentially all profit growth. Constellation divested most of its mainstream wine and spirits portfolio to focus on high-margin premium beer. FY2026 reported EPS of $9.61 (comparable $11.82) on $9.14B revenue with a 3% net sales decline [1]. Q1 FY2027 showed recovery with EPS of $3.43 beating estimates, beer shipments +1.8%, and 39% beer operating margin [2]. New CEO Nicholas Fink took the helm in April 2026, succeeding Bill Newlands [3].</w:t>
      </w:r>
    </w:p>
    <w:p>
      <w:r>
        <w:rPr>
          <w:rFonts w:ascii="Calibri" w:hAnsi="Calibri"/>
          <w:b/>
          <w:color w:val="6E8450"/>
          <w:sz w:val="18"/>
        </w:rPr>
        <w:t>9,400 Employees · https://www.cbrands.com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Constellation successfully executed a strategic transformation toward premium beer, with Modelo Especial overtaking Bud Light as the #1 beer brand in America by dollar sales — a remarkable achievement for an import brand against domestic incumbents [1]. The wine/spirits divestiture simplified the portfolio. However, the $4B+ investment in Canopy Growth (cannabis) resulted in writedowns exceeding $9B, one of the most value-destructive strategic bets in recent CPG history. AI Deployment (0/2): No meaningful AI deployment in products or consumer-facing experiences; the beverage alcohol industry remains one of the least digitally transformed consumer sectors. Market Share (2/2): Modelo Especial is the #1 beer brand in the U.S. by dollar sales, Corona Extra is a top-10 brand, and Pacifico is among the fastest-growing imports — collectively giving Constellation a dominant and growing share of the high-margin premium/import beer segment [2]. Product Pipeline (1/2): Steady cadence of line extensions (Corona Non-Alcoholic, Modelo Oro, flavored malt beverages) addresses evolving consumer preferences, but the pipeline is narrowly focused on beer after divesting wine/spirits, limiting addressable market expansion. R&amp;D Intensity (0/1): R&amp;D spending is minimal as a percentage of revenue, typical for beverages where brand-building and distribution matter more than product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Constellation's purpose — 'building brands that people love because we believe elevating human connections is Worth Reaching For' — is clear and somewhat differentiated, connecting beverage alcohol to human connection rather than mere consumption [4]. However, it does not articulate a transformative future-state vision and could apply to many consumer brands. Strategic decisions (Canopy Growth, divestitures) appear financially driven rather than purpose-driven. Community Impact (1/2): Constellation has committed to restoring 5 billion gallons of water withdrawals to local watersheds near production facilities, exceeding prior targets ahead of schedule, and pursues TRUE Certification for Zero Waste at key facilities [4]. Community programs target Hispanic/Latinx populations aligned with its consumer base. However, the core business of alcohol production inherently limits community impact claims. Employee Retention (1/2): Standard CPG workforce practices with competitive compensation. The planned CEO transition from Newlands to Fink was orderly, suggesting organizational maturity [3]. No exceptional retention metrics publicly available. Insider Buying (0/2): Net insider selling identified; no evidence of meaningful insider buying by executives.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The standout is an exceptionally low Forward P/E of 10.86x, well below the 20x target, reflecting market skepticism after FY2026 net sales declined 3% [1][5]. ROE of 22.64% exceeds the 15% target, demonstrating solid capital efficiency. Profit margin of 18.46% approaches the 20% target, reflecting the mix shift toward higher-margin beer with 39% beer operating margin in Q1 FY2027 [2]. D/E of 134% is above the 70% target but well below the 300% floor, reflecting $11.2B in debt from acquisitions. Revenue drags are notable: YoY of -3% (vs 10% target) and 5-year CAGR of only 1.2% as wine/spirits divestitures offset beer growth. Dividend metrics are uniformly strong — payout ratio of 39.04% (just under 40% target), 11 consecutive years of payments, 10 consecutive years of growth, and 5-year dividend growth CAGR of 6.27% all score at or near maximum [5]. Daily liquidity of ~$296M easily clears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Constellation Brands operates with a mixed infinite/finite game orientation. The strategic pivot from a diversified beverage company to a premium beer-focused powerhouse — with Modelo becoming the #1 U.S. beer brand — demonstrates meaningful strategic vision and execution over a decade. However, the catastrophic Canopy Growth cannabis investment ($9B+ in writedowns) reflects finite-game trend-chasing rather than purpose-driven strategy. New CEO Nicholas Fink (April 2026) is too early to assess, and FY2027 guidance of flat revenue (-1% to +1%) suggests a company in consolidation mode rather than playing offense [2][3].</w:t>
      </w:r>
    </w:p>
    <w:p>
      <w:pPr>
        <w:spacing w:before="200" w:after="40"/>
      </w:pPr>
      <w:r>
        <w:rPr>
          <w:rFonts w:ascii="Calibri" w:hAnsi="Calibri"/>
          <w:b/>
          <w:color w:val="1A2010"/>
          <w:sz w:val="22"/>
        </w:rPr>
        <w:t>Just Cause</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Constellation's purpose — 'elevating human connections' through brands people love — is commercially oriented rather than transformative. The company does genuine work in water stewardship and Hispanic community support, but these initiatives supplement the commercial strategy rather than defining it [4]. The Canopy Growth debacle ($9B+ writedown) reveals a willingness to chase financial opportunity over disciplined purpose adherence. The new CEO has yet to articulate a vision that transcends quarterly execution.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Constellation's ~9,400 employees operate in a stable organizational environment with standard CPG compensation and benefits. The CEO transition from Newlands to Fink was planned through board succession, suggesting organizational maturity [3]. However, the company's restructuring — divesting wine/spirits operations that affected thousands of employees — creates tension with a trust-based culture. No exceptional employee engagement, transparency practices, or psychological safety initiatives are publicly documented.</w:t>
      </w:r>
    </w:p>
    <w:p>
      <w:pPr>
        <w:spacing w:before="200" w:after="40"/>
      </w:pPr>
      <w:r>
        <w:rPr>
          <w:rFonts w:ascii="Calibri" w:hAnsi="Calibri"/>
          <w:b/>
          <w:color w:val="1A2010"/>
          <w:sz w:val="22"/>
        </w:rPr>
        <w:t>Worthy Rivals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Constellation has effectively leveraged competitive dynamics to improve its position. When Bud Light's market disruption in 2023 created an opening, Constellation accelerated Modelo distribution and marketing through product quality and cultural authenticity rather than attacking AB InBev directly [1]. The company acknowledges competition from craft beer, spirits, and non-alcoholic alternatives as motivation to innovate its portfolio. Q1 FY2027 results show continued competitive awareness with 1.8% beer shipment growth in a declining overall beer market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Constellation demonstrated genuine strategic flexibility by divesting its mainstream wine and spirits portfolio to focus on premium beer — walking away from revenue streams that once defined the company. The 2013 acquisition of Modelo/Corona distribution rights fundamentally redefined the business from a mid-tier wine company to a premium beer powerhouse [1]. However, the execution of recent divestitures was arguably delayed by several years as wine/spirits deteriorated, and FY2026 net sales still declined 3% from transition drag. The Canopy Growth position was held far too long as losses mounted, suggesting inflexibility once committed.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strategic decision to exit mainstream wine/spirits and concentrate on premium beer required courage and has largely paid off, with 39% beer operating margins validating the focus [2]. However, management's handling of Canopy Growth undermines the courage narrative — leadership failed to cut losses for years, persisting well past the point where evidence demanded a change. FY2027 guidance of flat revenue (-1% to +1%) reflects cautious management during a period when the company could invest aggressively to extend Modelo's share gains [2]. The CEO transition to an external hire (Fink) shows willingness to bring fresh thinking but also an implicit admission that internal succession was insufficient.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Constellation Brands at 10.86x forward earnings offers a compelling value-and-income proposition anchored by the #1 beer brand in America. The premium beer portfolio — Modelo Especial, Corona Extra, Pacifico — generates 39% operating margins with Q1 FY2027 showing resilience through a choppy consumer backdrop (EPS $3.43 vs $3.25 expected, beer shipments +1.8%) [2]. The 3.39% dividend yield is supported by a conservative 39% payout ratio, 10 consecutive years of growth at a 6.27% CAGR, and strong free cash flow [5]. ROE of 22.64% and the completed wine/spirits divestiture simplify the business model, and the low forward multiple suggests the market has already priced in revenue headwinds, creating potential for re-rating as the pure-play beer growth story gains clarity under new CEO Nicholas Fink [3].</w:t>
      </w:r>
    </w:p>
    <w:p>
      <w:pPr>
        <w:spacing w:after="120"/>
      </w:pPr>
      <w:r>
        <w:rPr>
          <w:rFonts w:ascii="Calibri" w:hAnsi="Calibri"/>
          <w:b w:val="0"/>
          <w:color w:val="3A4A28"/>
          <w:sz w:val="20"/>
        </w:rPr>
        <w:t>The bear case centers on topline stagnation and strategic execution risk. FY2027 guidance of -1% to +1% revenue growth signals that even after shedding lower-growth wine/spirits, beer volume growth is decelerating — Q1 FY2027 beer shipment growth of only 1.8% is well below the 5-8% rates that characterized the Modelo surge years [2]. The 5-year revenue CAGR of just 1.2% reflects a company that has struggled to grow the topline despite owning the #1 beer brand. D/E of 134% and $11.2B in debt constrain financial flexibility and absorb cash flow that could fund dividends or buybacks [5]. The Canopy Growth investment destroyed over $9B in shareholder value, raising questions about capital allocation discipline. Nicholas Fink is only five months into the CEO role with no established track record. Tariff risk on Mexican-brewed beer (Modelo, Corona, Pacifico brewed primarily in Mexico) represents a material overhang. The Inspire Impact Score of -60 (MISALIGNED) driven by alcohol and cannabis exposure limits the investor base for faith-aligned portfolios.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Beer market share expansion as Modelo Especial continues capturing share from weakened domestic competitors, with Pacifico and Corona Non-Alcoholic leveraging distribution gains and the premium import growth runway [1][2]</w:t>
      </w:r>
    </w:p>
    <w:p>
      <w:pPr>
        <w:spacing w:before="40" w:after="40"/>
        <w:ind w:left="283"/>
      </w:pPr>
      <w:r>
        <w:rPr>
          <w:rFonts w:ascii="Calibri" w:hAnsi="Calibri"/>
          <w:b/>
          <w:color w:val="4A6B25"/>
          <w:sz w:val="20"/>
        </w:rPr>
        <w:t xml:space="preserve">2. </w:t>
      </w:r>
      <w:r>
        <w:rPr>
          <w:rFonts w:ascii="Calibri" w:hAnsi="Calibri"/>
          <w:b w:val="0"/>
          <w:color w:val="3A4A28"/>
          <w:sz w:val="20"/>
        </w:rPr>
        <w:t>Margin expansion from completed wine/spirits divestiture and beer operating leverage — Q1 FY2027 beer operating margin of 39% could expand further as volume growth compounds against a simplified fixed-cost base [2]</w:t>
      </w:r>
    </w:p>
    <w:p>
      <w:pPr>
        <w:spacing w:before="40" w:after="40"/>
        <w:ind w:left="283"/>
      </w:pPr>
      <w:r>
        <w:rPr>
          <w:rFonts w:ascii="Calibri" w:hAnsi="Calibri"/>
          <w:b/>
          <w:color w:val="4A6B25"/>
          <w:sz w:val="20"/>
        </w:rPr>
        <w:t xml:space="preserve">3. </w:t>
      </w:r>
      <w:r>
        <w:rPr>
          <w:rFonts w:ascii="Calibri" w:hAnsi="Calibri"/>
          <w:b w:val="0"/>
          <w:color w:val="3A4A28"/>
          <w:sz w:val="20"/>
        </w:rPr>
        <w:t>New CEO Nicholas Fink may introduce sharper strategic vision and improved capital allocation discipline, with the Canopy Growth overhang fully resolved and balance sheet deleveraging accelerating free cash flow available for shareholder returns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Tariff exposure on Mexican-brewed beer imports threatens the entire beer portfolio's cost structure — Modelo, Corona, and Pacifico are brewed primarily in Mexico, making Constellation uniquely vulnerable to U.S.-Mexico trade policy changes [1]</w:t>
      </w:r>
    </w:p>
    <w:p>
      <w:pPr>
        <w:spacing w:before="40" w:after="40"/>
        <w:ind w:left="283"/>
      </w:pPr>
      <w:r>
        <w:rPr>
          <w:rFonts w:ascii="Calibri" w:hAnsi="Calibri"/>
          <w:b/>
          <w:color w:val="4A6B25"/>
          <w:sz w:val="20"/>
        </w:rPr>
        <w:t xml:space="preserve">2. </w:t>
      </w:r>
      <w:r>
        <w:rPr>
          <w:rFonts w:ascii="Calibri" w:hAnsi="Calibri"/>
          <w:b w:val="0"/>
          <w:color w:val="3A4A28"/>
          <w:sz w:val="20"/>
        </w:rPr>
        <w:t>Beer volume deceleration to 1.8% shipment growth in Q1 FY2027 amid flat FY2027 guidance (-1% to +1%) could signal the Modelo share-gain cycle is maturing, limiting the topline growth needed to support dividend growth and deleveraging [2]</w:t>
      </w:r>
    </w:p>
    <w:p>
      <w:pPr>
        <w:spacing w:before="40" w:after="40"/>
        <w:ind w:left="283"/>
      </w:pPr>
      <w:r>
        <w:rPr>
          <w:rFonts w:ascii="Calibri" w:hAnsi="Calibri"/>
          <w:b/>
          <w:color w:val="4A6B25"/>
          <w:sz w:val="20"/>
        </w:rPr>
        <w:t xml:space="preserve">3. </w:t>
      </w:r>
      <w:r>
        <w:rPr>
          <w:rFonts w:ascii="Calibri" w:hAnsi="Calibri"/>
          <w:b w:val="0"/>
          <w:color w:val="3A4A28"/>
          <w:sz w:val="20"/>
        </w:rPr>
        <w:t>Leverage of $11.2B in debt (134% D/E) constrains strategic flexibility and creates refinancing risk, particularly if beer growth fails to accelerate and free cash flow remains pressured by interest expense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Constellation's core business — brewing, importing, and distributing premium beer — has deep structural moats against AI disruption. Physical product manufacturing, century-old brand equity (Corona since 1925, Modelo since 1925), complex three-tier regulatory distribution, and cultural brand identity create barriers that software cannot replicate [1]. Consumer loyalty in alcoholic beverages is exceptionally sticky, driven by taste preference and social identity rather than information asymmetry. The primary AI-adjacent risks are in marketing efficiency (AI-powered ad targeting could theoretically level the competitive playing field between premium and value brands) and supply chain optimization (competitors adopting AI-driven logistics faster could squeeze margins). Tariff exposure on Mexican-brewed imports is a greater business risk than any AI-related threat. AI Opportunity (0/1): No evidence of AI-embedded revenue or AI-driven product innovation. Potential exists in demand forecasting, personalized marketing, and supply chain optimization, but these remain incremental efficiency plays rather than transformative revenue drivers for a beverage company.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-60</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Alcohol </w:t>
      </w:r>
      <w:r>
        <w:rPr>
          <w:rFonts w:ascii="Calibri" w:hAnsi="Calibri"/>
          <w:b w:val="0"/>
          <w:color w:val="9DAF88"/>
          <w:sz w:val="17"/>
        </w:rPr>
        <w:t xml:space="preserve">  ·  </w:t>
      </w:r>
      <w:r>
        <w:rPr>
          <w:rFonts w:ascii="Calibri" w:hAnsi="Calibri"/>
          <w:b/>
          <w:color w:val="DC2626"/>
          <w:sz w:val="17"/>
        </w:rPr>
        <w:t xml:space="preserve"> Cannabis: THC Retail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Constellation Brands FY2026 Earnings Release — Q4 EPS $1.90 (beat $1.68 estimate), revenue $1.92B; full-year reported EPS $9.61, comparable EPS $11.82, net sales declined 3%, CNBC/SEC 8-K, April 2026</w:t>
      </w:r>
    </w:p>
    <w:p>
      <w:pPr>
        <w:spacing w:before="20" w:after="20"/>
        <w:ind w:left="170"/>
      </w:pPr>
      <w:r>
        <w:rPr>
          <w:rFonts w:ascii="Calibri" w:hAnsi="Calibri"/>
          <w:b/>
          <w:color w:val="4A6B25"/>
          <w:sz w:val="15"/>
        </w:rPr>
        <w:t xml:space="preserve">2. </w:t>
      </w:r>
      <w:r>
        <w:rPr>
          <w:rFonts w:ascii="Calibri" w:hAnsi="Calibri"/>
          <w:b w:val="0"/>
          <w:color w:val="3A4A28"/>
          <w:sz w:val="17"/>
        </w:rPr>
        <w:t>Constellation Brands Q1 FY2027 Earnings — EPS $3.43 vs $3.25 expected, revenue $2.43B, beer shipments +1.8%, beer operating margin 39%, FY2027 guidance -1% to +1%, Investing.com, July 2026</w:t>
      </w:r>
    </w:p>
    <w:p>
      <w:pPr>
        <w:spacing w:before="20" w:after="20"/>
        <w:ind w:left="170"/>
      </w:pPr>
      <w:r>
        <w:rPr>
          <w:rFonts w:ascii="Calibri" w:hAnsi="Calibri"/>
          <w:b/>
          <w:color w:val="4A6B25"/>
          <w:sz w:val="15"/>
        </w:rPr>
        <w:t xml:space="preserve">3. </w:t>
      </w:r>
      <w:r>
        <w:rPr>
          <w:rFonts w:ascii="Calibri" w:hAnsi="Calibri"/>
          <w:b w:val="0"/>
          <w:color w:val="3A4A28"/>
          <w:sz w:val="17"/>
        </w:rPr>
        <w:t>Constellation Brands CEO Transition — Nicholas Fink appointed CEO April 2026, succeeding Bill Newlands, Rochester Business Journal, February 2026</w:t>
      </w:r>
    </w:p>
    <w:p>
      <w:pPr>
        <w:spacing w:before="20" w:after="20"/>
        <w:ind w:left="170"/>
      </w:pPr>
      <w:r>
        <w:rPr>
          <w:rFonts w:ascii="Calibri" w:hAnsi="Calibri"/>
          <w:b/>
          <w:color w:val="4A6B25"/>
          <w:sz w:val="15"/>
        </w:rPr>
        <w:t xml:space="preserve">4. </w:t>
      </w:r>
      <w:r>
        <w:rPr>
          <w:rFonts w:ascii="Calibri" w:hAnsi="Calibri"/>
          <w:b w:val="0"/>
          <w:color w:val="3A4A28"/>
          <w:sz w:val="17"/>
        </w:rPr>
        <w:t>Constellation Brands ESG Impact Report — 5B gallon water restoration target, zero waste certification progress, community investments, GlobeNewswire, October 2023</w:t>
      </w:r>
    </w:p>
    <w:p>
      <w:pPr>
        <w:spacing w:before="20" w:after="20"/>
        <w:ind w:left="170"/>
      </w:pPr>
      <w:r>
        <w:rPr>
          <w:rFonts w:ascii="Calibri" w:hAnsi="Calibri"/>
          <w:b/>
          <w:color w:val="4A6B25"/>
          <w:sz w:val="15"/>
        </w:rPr>
        <w:t xml:space="preserve">5. </w:t>
      </w:r>
      <w:r>
        <w:rPr>
          <w:rFonts w:ascii="Calibri" w:hAnsi="Calibri"/>
          <w:b w:val="0"/>
          <w:color w:val="3A4A28"/>
          <w:sz w:val="17"/>
        </w:rPr>
        <w:t>Yahoo Finance, StockAnalysis, GuruFocus — STZ Key Statistics: Forward P/E 10.86x, ROE 22.64%, Profit Margin 18.46%, D/E 134%, Dividend Yield 3.39%,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