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SUNB</w:t>
      </w:r>
      <w:r>
        <w:rPr>
          <w:rFonts w:ascii="Calibri" w:hAnsi="Calibri"/>
          <w:b/>
          <w:color w:val="1A2010"/>
          <w:sz w:val="40"/>
        </w:rPr>
        <w:t xml:space="preserve">  Sunbelt Rentals Holdings, Inc.</w:t>
      </w:r>
    </w:p>
    <w:p>
      <w:pPr>
        <w:spacing w:after="120"/>
      </w:pPr>
      <w:r>
        <w:rPr>
          <w:rFonts w:ascii="Calibri" w:hAnsi="Calibri"/>
          <w:b/>
          <w:color w:val="6E8450"/>
          <w:sz w:val="18"/>
        </w:rPr>
        <w:t>GROWTH SLEEVE · 2026-10-17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Rental &amp; Leasing Services · NYQ · United States</w:t>
      </w:r>
    </w:p>
    <w:p>
      <w:pPr>
        <w:spacing w:after="80"/>
      </w:pPr>
      <w:r>
        <w:rPr>
          <w:rFonts w:ascii="Calibri" w:hAnsi="Calibri"/>
          <w:b w:val="0"/>
          <w:color w:val="3A4A28"/>
          <w:sz w:val="20"/>
        </w:rPr>
        <w:t>Sunbelt Rentals Holdings, Inc. is the second-largest equipment rental company in North America, operating 1,250+ locations across the United States, United Kingdom, and Canada under the Sunbelt Rentals brand. The company rents construction, industrial, and general equipment including mobile elevating work platforms, excavators, forklifts, generators, and specialty solutions (power/HVAC, scaffold, trench safety, flooring, temporary structures). Founded in 1947, Sunbelt completed its NYSE listing in March 2026 after separating from UK parent Ashtead Group. Fiscal 2026 (ending April 2026) delivered record total revenue of $11.15B with adjusted EBITDA of $4.68B (41.9% margin) and record free cash flow of $2.1B.</w:t>
      </w:r>
    </w:p>
    <w:p>
      <w:r>
        <w:rPr>
          <w:rFonts w:ascii="Calibri" w:hAnsi="Calibri"/>
          <w:b/>
          <w:color w:val="6E8450"/>
          <w:sz w:val="18"/>
        </w:rPr>
        <w:t>26,613 Employees · https://ir.sunbeltrentals.com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Sunbelt completed its transformative NYSE listing in March 2026, transitioning from Ashtead Group's U.S. subsidiary to an independent publicly traded company — a significant corporate event but not a product or business model innovation [1]. The company also acquired Reliant Asset Management (modular space) in Q4 FY2026 as a bolt-on expansion. Specialty rental revenue grew 15.1% in fiscal Q4 2026, demonstrating successful category expansion. AI Deployment (0/2): No confirmed AI deployments with measurable results. Unverified claims exist about AI-powered predictive maintenance and chatbot tools, but no primary-source confirmation from management or earnings reports [2]. Market Share (2/2): Sunbelt Rentals is the second-largest equipment rental company in North America with 1,250+ locations and record revenue of $11.15B, trailing only United Rentals in the fragmented $70B+ rental market [1]. The company holds a leading position in specialty rental categories and is gaining share through organic growth and tuck-in acquisitions. Product Pipeline (1/2): Expanding specialty segment (power/HVAC, climate control, scaffold, flooring, trench safety, film/TV, temporary structures, modular space) provides growth runway with the Reliant acquisition adding modular capabilities [1]. FY2027 guidance projects 5-8% rental revenue growth. R&amp;D Intensity (0/1): Equipment rental is not an R&amp;D-intensive business model; innovation comes through fleet technology, logistics optimization, and service delivery rather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Sunbelt Rentals does not publicly articulate a distinctive purpose beyond being a leading equipment rental provider. The company's investor-facing materials focus on operational metrics, market position, and financial returns rather than a larger vision of the future [1]. This is a functional description of what the business does, not a purposeful mission that inspires stakeholders. Community Impact (0/2): No specific charitable programs, community investment, or philanthropic initiatives were identified in the research. The company's ESG page references sustainability efforts but no distinctive community engagement. Employee Retention (1/2): Glassdoor reviews are mixed — some employees describe 'a wonderful company to work for' and 'great people,' while others criticize leadership disconnection from front-line operations and 60-hour work weeks [2]. Employee headcount of 26,613 in a labor-intensive rental business suggests typical industrial sector turnover. Insider Buying (0/2): No insider buying data found for the newly listed company. The recent NYSE listing means insider transaction data is limited.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Sunbelt's financial profile demonstrates strong execution in an asset-heavy business model. D/E of 153.4% is elevated relative to the 70% target (score 0.64) but is structurally typical for equipment rental companies that finance fleets through secured debt [1]. ROE of 18.4% exceeds the 15% target (score 1.0, 2x weight), reflecting efficient capital deployment. Revenue growth YoY of 11.2% surpasses the 10% target (score 1.0), driven by Q4 FY2026 rental revenue growth of 8.0% with specialty up 15.1% [1]. Revenue growth 5yr CAGR of approximately 8% (score 0.87, 2x weight) reflects strong expansion from the pre-COVID base though recent growth has moderated. Forward P/E of 15.6x is well below the 20x target (score 1.0), suggesting attractive valuation for a high-quality industrial compounder. Profit margin of 12.1% falls short of the 20% target (score 0.61) but is strong for the capital-intensive rental industry. Forward PEG of 1.14 is near the 1.0 target (score 0.93, 2x weight), indicating reasonable growth-adjusted valuation. Daily dollar volume of $351M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Sunbelt Rentals is a well-executed finite player — an operationally excellent equipment rental company that optimizes fleet utilization, geographic density, and specialty category expansion to maximize returns. The company's 77-year history demonstrates organizational durability, but the absence of a distinctive Just Cause, the purely functional business purpose, and the focus on market share metrics reflect finite game thinking. The recent NYSE listing and separation from Ashtead were driven by financial engineering objectives (tax efficiency, direct capital market access) rather than a purpose-driven strategic vision. Sinek would acknowledge the operational competence while noting the absence of a cause worth playing for indefinitely.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Sunbelt Rentals does not articulate a Just Cause in Sinek's terms. The company exists to rent equipment profitably — a functional purpose without a vision of a future state so appealing that stakeholders would sacrifice to advance it [1]. 'Being the best equipment rental company' is a finite goal, not an infinite cause. The company's investor communications focus on EBITDA margins, fleet utilization, and market share rather than how equipment access enables human progress or infrastructure development. The 77-year operating history demonstrates persistence but not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present a mixed picture — some employees describe Sunbelt as a 'wonderful company to work for' with accessible leaders, while others report long hours (60-hour weeks), leadership disconnection between C-suite and front-line staff, and weak execution on fleet planning since 2021 [2]. The company's 26,613 employees operate in a labor-intensive, geographically dispersed rental network where local branch culture likely varies significantly. No evidence of exceptional trust or empowerment distinguishes Sunbelt from industry norms, but neither are there major cultural red flags.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Sunbelt's competitive framing is finite — focused on being the 'second-largest equipment rental company' and gaining market share against United Rentals through geographic expansion and specialty category growth [1]. The company's strategic narrative emphasizes market position rankings and revenue scale rather than self-improvement through competitive observation. No evidence of management acknowledging competitors' strengths or using competitive pressure as motivation for qualitative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Sunbelt has evolved incrementally from a basic general tool rental business into a diversified specialty equipment platform — adding power/HVAC, climate control, scaffold, flooring, trench safety, film/TV production, temporary structures, and modular space categories [1]. The specialty segment now generates meaningful revenue at 15.1% Q4 growth versus 4.4% for General Tool, demonstrating successful business model evolution. The NYSE listing and Ashtead separation represent structural flexibility. However, the core business model of renting physical equipment has remained unchanged for 77 years; the evolution has been additive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Sunbelt maintained growth investments and fleet capital expenditure through the FY2026 EBITDA margin compression (down 210 basis points YoY), prioritizing long-term market position over short-term profitability [1]. The NYSE listing in March 2026 required significant restructuring and relisting costs that temporarily depressed Q4 net income. The company guided to continued growth investment in FY2027 with 5-8% rental revenue growth targets. These reflect a willingness to invest through near-term headwinds, though the decisions are conventionally prudent rather than boldly contrarian.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Sunbelt Rentals at $76.02 with a $31.2B market cap is a newly independent, high-quality industrial compounder trading at an attractive 15.6x forward earnings with a PEG of just 1.14. Fiscal 2026 (ending April 2026) delivered record total revenue of $11.15B, record free cash flow of $2.1B (up 23%), and adjusted EBITDA of $4.68B (41.9% margin), despite Q4 being burdened by restructuring and NYSE relisting costs [1]. The specialty rental segment grew 15.1% in Q4, and the Reliant Asset Management acquisition expands the modular space offering. FY2027 guidance of 5-8% rental revenue growth and $4.85B-$5.05B adjusted EBITDA positions Sunbelt for continued compounding, and the equipment rental industry benefits from secular tailwinds including infrastructure spending, data center construction, and outsourcing trends favoring rental over ownership.</w:t>
      </w:r>
    </w:p>
    <w:p>
      <w:pPr>
        <w:spacing w:after="120"/>
      </w:pPr>
      <w:r>
        <w:rPr>
          <w:rFonts w:ascii="Calibri" w:hAnsi="Calibri"/>
          <w:b w:val="0"/>
          <w:color w:val="3A4A28"/>
          <w:sz w:val="20"/>
        </w:rPr>
        <w:t>The bear case centers on cyclical exposure and balance sheet leverage. D/E of 153% is structurally elevated for the asset-heavy rental model, and the $41B+ fleet requires continuous capital reinvestment even in downturns [1]. EBITDA margin compressed 210 basis points YoY in FY2026 as higher ancillary revenues, repair costs, and growth investments weighed on profitability — a trend that could continue if utilization rates soften in a construction slowdown. Revenue growth has decelerated from double-digits to mid-single-digits (FY2025 revenue actually declined slightly from FY2024 before recovering in FY2026), suggesting the post-COVID equipment boom is normalizing. The newly listed company lacks a dividend track record (first dividends paid in FY2026), and the separation from Ashtead Group means Sunbelt must now independently manage its capital markets relationships, tax structure, and governance. A construction recession would expose the operational leverage inherent in a fixed-cost fleet rental model, potentially compressing margins significantly below the 42% EBITDA target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equipment rental penetration growth — rental penetration in North America continues to increase as construction companies prefer renting over owning specialty equipment, expanding Sunbelt's $70B+ addressable market with the specialty segment growing 15.1% in Q4 FY2026 [1]</w:t>
      </w:r>
    </w:p>
    <w:p>
      <w:pPr>
        <w:spacing w:before="40" w:after="40"/>
        <w:ind w:left="283"/>
      </w:pPr>
      <w:r>
        <w:rPr>
          <w:rFonts w:ascii="Calibri" w:hAnsi="Calibri"/>
          <w:b/>
          <w:color w:val="4A6B25"/>
          <w:sz w:val="20"/>
        </w:rPr>
        <w:t xml:space="preserve">2. </w:t>
      </w:r>
      <w:r>
        <w:rPr>
          <w:rFonts w:ascii="Calibri" w:hAnsi="Calibri"/>
          <w:b w:val="0"/>
          <w:color w:val="3A4A28"/>
          <w:sz w:val="20"/>
        </w:rPr>
        <w:t>Infrastructure and data center construction spending — federal infrastructure bills, reshoring initiatives, and hyperscaler data center buildouts create multi-year demand tailwinds for heavy equipment, aerial platforms, power generation, and temporary structures</w:t>
      </w:r>
    </w:p>
    <w:p>
      <w:pPr>
        <w:spacing w:before="40" w:after="40"/>
        <w:ind w:left="283"/>
      </w:pPr>
      <w:r>
        <w:rPr>
          <w:rFonts w:ascii="Calibri" w:hAnsi="Calibri"/>
          <w:b/>
          <w:color w:val="4A6B25"/>
          <w:sz w:val="20"/>
        </w:rPr>
        <w:t xml:space="preserve">3. </w:t>
      </w:r>
      <w:r>
        <w:rPr>
          <w:rFonts w:ascii="Calibri" w:hAnsi="Calibri"/>
          <w:b w:val="0"/>
          <w:color w:val="3A4A28"/>
          <w:sz w:val="20"/>
        </w:rPr>
        <w:t>Record free cash flow of $2.1B (up 23%) enables simultaneous debt reduction, fleet investment, tuck-in acquisitions (Reliant Asset Management), and newly initiated dividends as the independent public company matures its capital return framework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Construction cycle downturn — a slowdown in commercial construction or infrastructure spending would reduce equipment utilization rates and rental pricing power, exposing the operational leverage in a fixed-cost fleet model with 153% D/E [1]</w:t>
      </w:r>
    </w:p>
    <w:p>
      <w:pPr>
        <w:spacing w:before="40" w:after="40"/>
        <w:ind w:left="283"/>
      </w:pPr>
      <w:r>
        <w:rPr>
          <w:rFonts w:ascii="Calibri" w:hAnsi="Calibri"/>
          <w:b/>
          <w:color w:val="4A6B25"/>
          <w:sz w:val="20"/>
        </w:rPr>
        <w:t xml:space="preserve">2. </w:t>
      </w:r>
      <w:r>
        <w:rPr>
          <w:rFonts w:ascii="Calibri" w:hAnsi="Calibri"/>
          <w:b w:val="0"/>
          <w:color w:val="3A4A28"/>
          <w:sz w:val="20"/>
        </w:rPr>
        <w:t>EBITDA margin compression — FY2026 adjusted EBITDA margin of 41.9% already declined 210 basis points YoY from higher costs and growth investments; continued margin erosion would pressure the earnings growth story that supports the current 15.6x forward multiple</w:t>
      </w:r>
    </w:p>
    <w:p>
      <w:pPr>
        <w:spacing w:before="40" w:after="40"/>
        <w:ind w:left="283"/>
      </w:pPr>
      <w:r>
        <w:rPr>
          <w:rFonts w:ascii="Calibri" w:hAnsi="Calibri"/>
          <w:b/>
          <w:color w:val="4A6B25"/>
          <w:sz w:val="20"/>
        </w:rPr>
        <w:t xml:space="preserve">3. </w:t>
      </w:r>
      <w:r>
        <w:rPr>
          <w:rFonts w:ascii="Calibri" w:hAnsi="Calibri"/>
          <w:b w:val="0"/>
          <w:color w:val="3A4A28"/>
          <w:sz w:val="20"/>
        </w:rPr>
        <w:t>Newly independent company risk — Sunbelt's March 2026 NYSE listing means the company lacks a track record as a standalone public entity; investor relations, capital allocation discipline, and governance structures are untested without Ashtead Group oversight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Equipment rental is structurally IMMUNE to AI substitution. Construction sites, industrial facilities, infrastructure projects, and emergency response operations require physical equipment — excavators, aerial platforms, generators, scaffolding, climate control systems — that AI fundamentally cannot displace [1]. Customers need tangible machines delivered to physical locations and maintained by skilled technicians. AI data center construction is actively increasing demand for rental equipment as hyperscalers build out computing infrastructure. The business model requires $4.68B in annual EBITDA-generating physical assets that create barriers to entry unrelated to software intelligence [1]. The only AI-adjacent risk is equipment automation reducing utilization hours per unit, but this is offset by expanded addressable applications. AI Opportunity (0/1): No quantifiable AI revenue stream. Potential for AI-driven fleet optimization, predictive maintenance scheduling, and demand forecasting, but these are internal efficiency tools rather than customer-facing revenue generators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Sunbelt Rentals FY2026 Q4 and Full-Year Results — Record revenue $11.15B, rental revenue +3.4%, adjusted EBITDA $4.68B (41.9% margin), record FCF $2.1B, FY2027 guidance 5-8% rental growth — IR Press Release, RER Magazine, Quartr, June 2026</w:t>
      </w:r>
    </w:p>
    <w:p>
      <w:pPr>
        <w:spacing w:before="20" w:after="20"/>
        <w:ind w:left="170"/>
      </w:pPr>
      <w:r>
        <w:rPr>
          <w:rFonts w:ascii="Calibri" w:hAnsi="Calibri"/>
          <w:b/>
          <w:color w:val="4A6B25"/>
          <w:sz w:val="15"/>
        </w:rPr>
        <w:t xml:space="preserve">2. </w:t>
      </w:r>
      <w:r>
        <w:rPr>
          <w:rFonts w:ascii="Calibri" w:hAnsi="Calibri"/>
          <w:b w:val="0"/>
          <w:color w:val="3A4A28"/>
          <w:sz w:val="17"/>
        </w:rPr>
        <w:t>Sunbelt Rentals Leadership and Culture — Glassdoor reviews (mixed: accessible leaders vs. long hours), AI claims unverified, ESG low risk (PitchBook 13.24/Sustainalytics Strong), NYSE listing March 2026 — Various sources,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