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SUNE</w:t>
      </w:r>
      <w:r>
        <w:rPr>
          <w:rFonts w:ascii="Calibri" w:hAnsi="Calibri"/>
          <w:b/>
          <w:color w:val="1A2010"/>
          <w:sz w:val="40"/>
        </w:rPr>
        <w:t xml:space="preserve">  SUNation Energy Inc.</w:t>
      </w:r>
    </w:p>
    <w:p>
      <w:pPr>
        <w:spacing w:after="120"/>
      </w:pPr>
      <w:r>
        <w:rPr>
          <w:rFonts w:ascii="Calibri" w:hAnsi="Calibri"/>
          <w:b/>
          <w:color w:val="6E8450"/>
          <w:sz w:val="18"/>
        </w:rPr>
        <w:t>GROWTH SLEEVE · 2026-09-01 · Inspire: 50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Solar Energy · NASDAQ · United States</w:t>
      </w:r>
    </w:p>
    <w:p>
      <w:pPr>
        <w:spacing w:after="80"/>
      </w:pPr>
      <w:r>
        <w:rPr>
          <w:rFonts w:ascii="Calibri" w:hAnsi="Calibri"/>
          <w:b w:val="0"/>
          <w:color w:val="3A4A28"/>
          <w:sz w:val="20"/>
        </w:rPr>
        <w:t>SUNation Energy is a Long Island, NY-based provider of residential and commercial solar energy installations, battery storage solutions, and EV charging infrastructure. Originally founded in 1969 as Communications Systems Inc. and pivoted to solar energy under co-founder Scott Maskin in 2003. With 164 employees, FY2025 revenue was $71.9M (up 27% YoY) with gross margin improving to 40.7%. Q1 2026 revenue fell 43% to $7.19M following the loss of 25D federal residential solar tax credits from the One Big Beautiful Bill Act. A definitive reverse merger agreement with Suniva Inc. was announced in June 2026.</w:t>
      </w:r>
    </w:p>
    <w:p>
      <w:r>
        <w:rPr>
          <w:rFonts w:ascii="Calibri" w:hAnsi="Calibri"/>
          <w:b/>
          <w:color w:val="6E8450"/>
          <w:sz w:val="18"/>
        </w:rPr>
        <w:t>164 Employees · https://www.sunation.com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SUNation delivered strong FY2025 results with revenue up 27% to $71.9M and gross margin expanding to 40.7% from 36.4%, but Q1 2026 revenue collapsed 43% to $7.19M following the elimination of 25D federal residential solar tax credits [1][2]. The net loss widened 17% in Q1 2026, and the company's dependence on policy subsidies rather than product differentiation reflects a fragile business model. As a regional solar installer on Long Island, SUNation provides commodity installation services without proprietary technology or scalable competitive advantages. AI Deployment (0/2): No evidence of AI deployment in operations, sales, design, or installation processes. The company relies on conventional solar installation methods and standard industry tools. Market Share (1/2): SUNation has built a recognizable regional brand on Long Island over two decades, with commercial revenue growing 15% YoY in Q1 2026 even as residential collapsed [1]. However, the company is a micro-cap with negligible national market share competing against SunPower, Sunrun, Tesla Solar, and hundreds of regional installers. Pipeline (1/2): The Suniva reverse merger announced in June 2026 could transform SUNation from a regional installer into a company with domestic solar manufacturing capabilities, providing differentiation in a post-IRA policy environment [5]. Commercial growth of 15% YoY partially offsets residential declines. R&amp;D Intensity (1/1): Limited formal R&amp;D budget, but investment in commercial solar capabilities, battery storage integration, and EV charging represents appropriate diversification for a company of this scale.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Clean energy — helping households and businesses transition to solar power — is an inherently purposeful mission with clear societal benefit [3]. SUNation's two-decade commitment to solar energy on Long Island, active community volunteerism, and founder-led culture give the mission authenticity beyond marketing. The cause is genuinely lived through daily operations, though the company's micro-cap scale limits its transformative impact. Community Impact (1/2): SUNation employees actively participate in community events and volunteer efforts in the Long Island area, and the company's solar installations directly reduce household carbon emissions and energy costs [3]. However, the 164-person company lacks the scale for quantifiable community investment metrics comparable to larger enterprises. Employee Retention (1/2): Co-founder and CEO Scott Maskin's 20+ year tenure and hands-on operational leadership provide cultural stability for the small team [3]. The company invests in ongoing solar energy training and quality control programs. However, the severe revenue decline in 2026 and ongoing financial losses create workforce uncertainty. Insider Buying (0/2): No evidence of significant insider buying. The reverse merger with Suniva may signal management confidence in the combined entity's future, but the transaction structure complicates insider alignment analysis.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SUNation's only strong metric is its low D/E of 29.5% (score 1.0), reflecting aggressive debt reduction from $19.1M to $8.1M during FY2025 [2][4]. All other metrics score at or near zero: ROE of -65.5% is deeply negative (score 0, 2x weight), revenue declined 43% YoY in Q1 2026 (score 0), and profit margin is approximately -57% based on Q1 2026 net loss of $4.09M on $7.19M revenue (score 0) [1]. Forward P/E and Forward PEG are incalculable due to negative earnings. Revenue growth 5yr CAGR is not meaningful given the company's business transformation from Communications Systems to SUNation Energy. Daily dollar volume of approximately $4.3M (1.87M shares at $2.28) passes the $1M liquidity threshold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SUNation Energy's 20+ year commitment to solar energy on Long Island demonstrates genuine long-term orientation, and the clean energy mission provides a durable cause beyond quarterly results. However, the company's precarious financial position — a 43% revenue decline, widening losses, and micro-cap scale — forces survival-focused decision-making that conflicts with infinite game principles. The Suniva reverse merger represents a potential transformative pivot but also signals that SUNation's standalone model may not be viable in a post-25D tax credit environment. CEO Maskin's founder leadership provides cultural continuity but limited strategic scale.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Clean energy transition — helping Long Island households and businesses access solar power — is a genuine, lived cause that has guided SUNation for over two decades [3]. Co-founder Maskin's 20+ year commitment through multiple solar industry cycles demonstrates authentic purpose beyond financial returns. Community volunteerism and local solar advocacy reinforce the mission's authenticity. However, the company's Long Island geographic focus limits the cause's scope, and the 43% Q1 2026 revenue decline driven by policy changes reveals that the cause alone cannot sustain the business without supportive regulatory frameworks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164-person team operates under co-founder CEO Maskin's hands-on leadership, with a culture emphasizing ongoing solar energy training, quality control, and community engagement [3]. The small-team, founder-led dynamic suggests higher-than-average trust and cultural cohesion. However, the severe revenue decline, ongoing losses, and pending Suniva reverse merger create significant workforce uncertainty, and no retention metrics or employee satisfaction data are available to validate cultural claims.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SUNation competes against national solar installers (SunPower, Sunrun, Tesla Solar) and hundreds of regional competitors with no evidence of a learning-oriented competitive framework. The company's response to the 25D tax credit elimination has been defensive — commercial diversification and cost-cutting — rather than competitively inspired innovation. The Suniva merger suggests acknowledgment that the standalone installer model cannot compete long-term, but this is reactive rather than proactively learning from rivals [5].</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Suniva reverse merger — transforming SUNation from a pure regional solar installer into a company with domestic solar manufacturing capabilities — represents a significant strategic pivot in response to the post-25D policy environment [5]. The earlier pivot from Communications Systems Inc. to solar energy in the 2000s demonstrates historical willingness to reinvent the business model entirely. However, both pivots were driven by existential necessity rather than proactive strategic vision, and the Suniva merger's success remains highly uncertain.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Maskin has shown courage in maintaining the solar business through multiple industry downturns, reducing overhead, improving corporate governance, and pursuing the transformative Suniva merger during a period of severe financial stress [3][5]. The decision to prioritize commercial solar growth (up 15% YoY) while residential collapsed demonstrates strategic discipline. However, the company's limited resources constrain the scope of courageous action, and the path forward depends heavily on the Suniva merger rather than independent strategic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SUNation Energy offers a speculative bet on the Suniva reverse merger creating a vertically integrated domestic solar company at a time when policy shifts favor US-manufactured solar products. FY2025 demonstrated the business model's potential — 27% revenue growth, gross margin expansion to 40.7%, and 60% reduction in net losses — before the 25D tax credit elimination disrupted the residential market [2]. Commercial revenue growing 15% YoY in Q1 2026 shows diversification traction, and the aggressive debt reduction from $19.1M to $8.1M provides balance sheet flexibility for the Suniva integration [1][2]. At a $2.28 stock price with ~$14M market cap, any successful Suniva merger execution would represent a transformative re-rating. An Inspire Impact score of 50 (ALIGNED) with strong positive attributions across 11 ESG categories makes this one of the most faith-aligned stocks in the screening universe.</w:t>
      </w:r>
    </w:p>
    <w:p>
      <w:pPr>
        <w:spacing w:after="120"/>
      </w:pPr>
      <w:r>
        <w:rPr>
          <w:rFonts w:ascii="Calibri" w:hAnsi="Calibri"/>
          <w:b w:val="0"/>
          <w:color w:val="3A4A28"/>
          <w:sz w:val="20"/>
        </w:rPr>
        <w:t>The bear case is severe. Q1 2026 revenue collapsed 43% to $7.19M with the net loss widening to $4.09M, and the company's core residential solar business is structurally impaired by the loss of 25D federal tax credits [1]. ROE of -65.5% and a -57% net margin reflect a business model in crisis. The Suniva reverse merger introduces integration risk, dilution uncertainty, and execution complexity that a 164-person micro-cap with limited management bandwidth may struggle to handle [5]. SUNation has no proprietary technology, no AI capabilities, no scale advantages, and operates in a commodity installation market with intense competition from national and regional players. The $2.28 stock price and ~$14M market cap leave the company vulnerable to dilutive capital raises, and the reverse merger structure may further compress existing shareholders' ownership. Without the Suniva catalyst, SUNation's standalone business is likely unviable in the current policy environment.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Suniva reverse merger completion — successful integration would create a vertically integrated domestic solar manufacturer/installer benefiting from Buy American provisions and tariff protection</w:t>
      </w:r>
    </w:p>
    <w:p>
      <w:pPr>
        <w:spacing w:before="40" w:after="40"/>
        <w:ind w:left="283"/>
      </w:pPr>
      <w:r>
        <w:rPr>
          <w:rFonts w:ascii="Calibri" w:hAnsi="Calibri"/>
          <w:b/>
          <w:color w:val="4A6B25"/>
          <w:sz w:val="20"/>
        </w:rPr>
        <w:t xml:space="preserve">2. </w:t>
      </w:r>
      <w:r>
        <w:rPr>
          <w:rFonts w:ascii="Calibri" w:hAnsi="Calibri"/>
          <w:b w:val="0"/>
          <w:color w:val="3A4A28"/>
          <w:sz w:val="20"/>
        </w:rPr>
        <w:t>Commercial solar revenue acceleration — 15% YoY growth in Q1 2026 demonstrates the diversification strategy is gaining traction and partially offsetting residential declines</w:t>
      </w:r>
    </w:p>
    <w:p>
      <w:pPr>
        <w:spacing w:before="40" w:after="40"/>
        <w:ind w:left="283"/>
      </w:pPr>
      <w:r>
        <w:rPr>
          <w:rFonts w:ascii="Calibri" w:hAnsi="Calibri"/>
          <w:b/>
          <w:color w:val="4A6B25"/>
          <w:sz w:val="20"/>
        </w:rPr>
        <w:t xml:space="preserve">3. </w:t>
      </w:r>
      <w:r>
        <w:rPr>
          <w:rFonts w:ascii="Calibri" w:hAnsi="Calibri"/>
          <w:b w:val="0"/>
          <w:color w:val="3A4A28"/>
          <w:sz w:val="20"/>
        </w:rPr>
        <w:t>Policy reversal or new clean energy incentives at state or federal level that restore residential solar economics, particularly in New York where SUNation operates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Suniva reverse merger execution risk — integration of a solar manufacturing operation into a 164-person regional installer represents extreme operational and financial complexity with uncertain dilution impact</w:t>
      </w:r>
    </w:p>
    <w:p>
      <w:pPr>
        <w:spacing w:before="40" w:after="40"/>
        <w:ind w:left="283"/>
      </w:pPr>
      <w:r>
        <w:rPr>
          <w:rFonts w:ascii="Calibri" w:hAnsi="Calibri"/>
          <w:b/>
          <w:color w:val="4A6B25"/>
          <w:sz w:val="20"/>
        </w:rPr>
        <w:t xml:space="preserve">2. </w:t>
      </w:r>
      <w:r>
        <w:rPr>
          <w:rFonts w:ascii="Calibri" w:hAnsi="Calibri"/>
          <w:b w:val="0"/>
          <w:color w:val="3A4A28"/>
          <w:sz w:val="20"/>
        </w:rPr>
        <w:t>Post-25D residential solar market collapse — revenue down 43% with no near-term catalyst for recovery absent new federal or state incentives</w:t>
      </w:r>
    </w:p>
    <w:p>
      <w:pPr>
        <w:spacing w:before="40" w:after="40"/>
        <w:ind w:left="283"/>
      </w:pPr>
      <w:r>
        <w:rPr>
          <w:rFonts w:ascii="Calibri" w:hAnsi="Calibri"/>
          <w:b/>
          <w:color w:val="4A6B25"/>
          <w:sz w:val="20"/>
        </w:rPr>
        <w:t xml:space="preserve">3. </w:t>
      </w:r>
      <w:r>
        <w:rPr>
          <w:rFonts w:ascii="Calibri" w:hAnsi="Calibri"/>
          <w:b w:val="0"/>
          <w:color w:val="3A4A28"/>
          <w:sz w:val="20"/>
        </w:rPr>
        <w:t>Micro-cap survival risk — $14M market cap, deeply negative ROE, widening losses, and limited management bandwidth create existential financial vulnerability with potential delisting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SUNation's core business — physically installing solar panels, battery storage systems, and EV chargers on rooftops and properties — faces minimal AI substitution risk. The work requires licensed electricians, roofers, and technicians performing hands-on installation that cannot be automated by AI [3]. Residential and commercial solar sales rely on local relationships, site-specific engineering, and regulatory permitting that AI enhances but does not replace. However, AI-driven solar design tools from companies like Aurora Solar and national installers with AI-optimized customer acquisition could erode SUNation's competitive position by lowering customer acquisition costs for larger, better-resourced competitors [1]. The company's lack of any AI capability is a competitive disadvantage in an increasingly digitized solar sales process. AI Opportunity (1/1): AI could improve SUNation's operations through automated solar panel layout optimization, predictive maintenance scheduling, AI-powered customer lead scoring, and automated permitting documentation — but the company currently deploys none of these tools, representing unrealized upside.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SUNation Energy Q1 2026 Earnings Release — revenue $7.19M (down 43% YoY), commercial up 15%, May 2026</w:t>
      </w:r>
    </w:p>
    <w:p>
      <w:pPr>
        <w:spacing w:before="20" w:after="20"/>
        <w:ind w:left="170"/>
      </w:pPr>
      <w:r>
        <w:rPr>
          <w:rFonts w:ascii="Calibri" w:hAnsi="Calibri"/>
          <w:b/>
          <w:color w:val="4A6B25"/>
          <w:sz w:val="15"/>
        </w:rPr>
        <w:t xml:space="preserve">2. </w:t>
      </w:r>
      <w:r>
        <w:rPr>
          <w:rFonts w:ascii="Calibri" w:hAnsi="Calibri"/>
          <w:b w:val="0"/>
          <w:color w:val="3A4A28"/>
          <w:sz w:val="17"/>
        </w:rPr>
        <w:t>SUNation Energy FY2025 Annual Results — revenue $71.9M (up 27%), gross margin 40.7%, net loss narrowed 60%, March 2026</w:t>
      </w:r>
    </w:p>
    <w:p>
      <w:pPr>
        <w:spacing w:before="20" w:after="20"/>
        <w:ind w:left="170"/>
      </w:pPr>
      <w:r>
        <w:rPr>
          <w:rFonts w:ascii="Calibri" w:hAnsi="Calibri"/>
          <w:b/>
          <w:color w:val="4A6B25"/>
          <w:sz w:val="15"/>
        </w:rPr>
        <w:t xml:space="preserve">3. </w:t>
      </w:r>
      <w:r>
        <w:rPr>
          <w:rFonts w:ascii="Calibri" w:hAnsi="Calibri"/>
          <w:b w:val="0"/>
          <w:color w:val="3A4A28"/>
          <w:sz w:val="17"/>
        </w:rPr>
        <w:t>SUNation Energy — CEO Scott Maskin Appointment and Leadership Profile, December 2024</w:t>
      </w:r>
    </w:p>
    <w:p>
      <w:pPr>
        <w:spacing w:before="20" w:after="20"/>
        <w:ind w:left="170"/>
      </w:pPr>
      <w:r>
        <w:rPr>
          <w:rFonts w:ascii="Calibri" w:hAnsi="Calibri"/>
          <w:b/>
          <w:color w:val="4A6B25"/>
          <w:sz w:val="15"/>
        </w:rPr>
        <w:t xml:space="preserve">4. </w:t>
      </w:r>
      <w:r>
        <w:rPr>
          <w:rFonts w:ascii="Calibri" w:hAnsi="Calibri"/>
          <w:b w:val="0"/>
          <w:color w:val="3A4A28"/>
          <w:sz w:val="17"/>
        </w:rPr>
        <w:t>StockAnalysis.com — SUNE key statistics and valuation metrics,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Suniva Inc. — SUNation Energy Definitive Reverse Merger Agreement Announcement, June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