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SXC</w:t>
      </w:r>
      <w:r>
        <w:rPr>
          <w:rFonts w:ascii="Calibri" w:hAnsi="Calibri"/>
          <w:b/>
          <w:color w:val="1A2010"/>
          <w:sz w:val="40"/>
        </w:rPr>
        <w:t xml:space="preserve">  SunCoke Energy, Inc.</w:t>
      </w:r>
    </w:p>
    <w:p>
      <w:pPr>
        <w:spacing w:after="120"/>
      </w:pPr>
      <w:r>
        <w:rPr>
          <w:rFonts w:ascii="Calibri" w:hAnsi="Calibri"/>
          <w:b/>
          <w:color w:val="6E8450"/>
          <w:sz w:val="18"/>
        </w:rPr>
        <w:t>DIVIDEND SLEEVE · 2026-09-16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Coking Coal · NYSE · United States</w:t>
      </w:r>
    </w:p>
    <w:p>
      <w:pPr>
        <w:spacing w:after="80"/>
      </w:pPr>
      <w:r>
        <w:rPr>
          <w:rFonts w:ascii="Calibri" w:hAnsi="Calibri"/>
          <w:b w:val="0"/>
          <w:color w:val="3A4A28"/>
          <w:sz w:val="20"/>
        </w:rPr>
        <w:t>SunCoke Energy is the largest independent producer of high-quality metallurgical coke in the Americas, with over 45 years of production experience using proprietary heat recovery cokemaking technology. The company operates through two segments: Domestic Coke (serving blast furnace steelmakers) and Industrial Services (material handling, scrap processing, and logistics). SunCoke acquired Phoenix Global in 2025 to expand industrial services. Q2 2026 revenue rose to $475.3M with net income of $15.6M, and management raised full-year Adjusted EBITDA guidance to $250-265M.</w:t>
      </w:r>
    </w:p>
    <w:p>
      <w:r>
        <w:rPr>
          <w:rFonts w:ascii="Calibri" w:hAnsi="Calibri"/>
          <w:b/>
          <w:color w:val="6E8450"/>
          <w:sz w:val="18"/>
        </w:rPr>
        <w:t>2,477 Employees · https://www.suncoke.com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Phoenix Global acquisition in 2025 expanded SunCoke's Industrial Services segment into scrap processing and logistics, adding ~$63M to segment revenue — strategic diversification beyond core cokemaking, though incremental rather than transformative [1]. AI Deployment (0/2): No evidence of AI deployment in operations or services; CIO Lisa Toma focuses on digital transformation but no specific AI products shipping or savings quantified [3]. Market Share (1/2): SunCoke is the largest independent coke producer in the Americas with 45+ years of experience, maintaining a meaningful position in a niche category through long-term customer contracts [1]. Pipeline (1/2): Phoenix Global integration provides near-term revenue visibility with full-year Industrial Services EBITDA expected at $90-100M, and extended customer contracts provide backlog, though these are adjacent extensions rather than next-generation products [1][2]. R&amp;D Intensity (0/1): No evidence of meaningful R&amp;D investment; the company operates mature industrial processes without significant technology development spend.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SunCoke's mission focuses on being a leading producer of metallurgical coke with environmentally sound operations — a functional but generic industrial mission interchangeable with most basic materials peers [3]. Community Impact (0/2): SunCoke employs heat recovery technology that captures excess heat for steam and power generation, but this is an operational feature rather than community philanthropy. Meanwhile, families near the Middletown plant report worsening odors and black residue, and the EPA has pursued enforcement actions for Clean Air Act violations including a $1.995M settlement [4]. Employee Retention (1/2): Leadership continuity is evident — CEO has been with SunCoke for over a decade before the top role, and board tenure averages several years. Glassdoor rating of 3.3/5 with 3.0/5 for culture/values and 2.9/5 for career opportunities indicates mediocre but not critically poor employee sentiment across 72 reviews [3]. Insider Buying (0/2): No evidence of meaningful net insider buying by leadership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on available metrics. Liquidity floor cleared: 1,421,737 avg daily volume x $9.46 = $13.4M [5]. D/E of 107.7% scores 0.84 (above 70% target, reflecting Phoenix acquisition debt) [5]. ROE of -7.5% scores 0.0 (negative, below 0% floor — trailing metrics hurt by Q1 2026 net loss of $4.4M) [2]. Revenue Growth YoY of 9.5% scores 0.98 (near 10% target, driven by Phoenix inclusion) [1]. Revenue Growth 5yr CAGR estimated at -2.0% scores 0.20 [5]. Forward P/E of 32.6 scores 0.68 (deteriorated from 15.8 in July as earnings estimates declined) [5]. Profit margin of -2.9% scores 0.0 (trailing negative from Q1 loss). Dividend metrics: payout ratio ~90% scores 0.17 (1x); consecutive years paid ~8 scores 0.80 (2x weight); consecutive years growth ~4 scores 0.40 (1x); 5yr dividend growth CAGR of 14.9% scores 1.0 (2x weight). Weighted sum: 6.87 / 12 x 10 = 5.7, rounded to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SunCoke shows limited infinite game characteristics. The company has maintained its core cokemaking business for 45+ years and strategically diversified through the Phoenix Global acquisition, demonstrating some long-term orientation. However, the business is fundamentally tied to blast furnace steelmaking — a declining technology as the steel industry shifts toward electric arc furnaces — and there is no compelling Just Cause beyond operational efficiency. Glassdoor culture scores of 3.0/5 suggest an adequate but uninspiring organizational environment.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SunCoke's purpose centers on being the leading coke producer with environmental stewardship through heat-recovery technology, but this reads as a business objective rather than a Just Cause in Sinek's framework [3]. The company does not articulate a vision of a better future — it exists to efficiently produce coke for steelmakers and generate returns for shareholders. The environmental messaging around heat recovery is operationally relevant but not a transformative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continuity is evident with long-tenured executives and board members, providing organizational stability [3]. However, Glassdoor ratings of 3.3/5 overall and 3.0/5 for culture/values across 72 reviews indicate a mediocre organizational environment. Employee reviews mention resource constraints, and some note that despite an 'open door' policy there are 'more doors closed these days than ever,' suggesting trust gaps in practice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SunCoke positions itself as the 'largest independent coke producer in the Americas' — framing competition in terms of market dominance rather than learning from rivals [1]. No management commentary references worthy competitors or self-improvement through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Phoenix Global acquisition diversified SunCoke from pure cokemaking into industrial services (scrap processing, logistics, material handling), adding ~$63M in segment revenue and expanding EBITDA diversification [1]. However, this is adjacent expansion rather than transformative reinvention, and the core business remains tied to blast furnace technology facing long-term secular decline as EAF represents over 70% of U.S. steel production.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Phoenix Global acquisition represented a meaningful strategic bet to diversify beyond core cokemaking during a period of industry transition [1]. Management raised FY2026 Adjusted EBITDA guidance to $250-265M despite Q1 2026 posting a $4.4M net loss from weather disruptions, demonstrating commitment to the long-term plan over quarterly optics [1][2]. However, there is no evidence of transformative sacrifice — the decisions are conventionally strategic rather than courageous in Sinek's sense.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SunCoke Energy offers a 5.1% dividend yield at $9.46, supported by the largest independent metallurgical coke operation in the Americas and a diversifying Industrial Services segment bolstered by Phoenix Global [1][5]. Management raised FY2026 Adjusted EBITDA guidance to $250-265M, with Q2 2026 showing recovery to $15.6M net income ($0.15 EPS) after the weather-disrupted Q1 [1]. Industrial Services now contributes $90-100M EBITDA guidance, meaningfully diversifying beyond Domestic Coke's $162-168M. The dividend has grown at a 14.9% 5-year CAGR ($0.24 to $0.48 annually), and the Inspire Impact Score of 41 (ALIGNED) adds appeal for faith-based investors seeking income in basic materials [5].</w:t>
      </w:r>
    </w:p>
    <w:p>
      <w:pPr>
        <w:spacing w:after="120"/>
      </w:pPr>
      <w:r>
        <w:rPr>
          <w:rFonts w:ascii="Calibri" w:hAnsi="Calibri"/>
          <w:b w:val="0"/>
          <w:color w:val="3A4A28"/>
          <w:sz w:val="20"/>
        </w:rPr>
        <w:t>The bear case centers on cyclicality, secular decline, and deteriorating financial metrics. SunCoke's core coke business is structurally tied to blast furnace steelmaking, which faces long-term decline as EAF now exceeds 70% of U.S. steel production [1]. Trailing metrics have deteriorated sharply: ROE has turned negative (-7.5%), profit margin is -2.9%, and forward P/E has expanded to 32.6x from 15.8x in July as earnings estimates declined [5]. The payout ratio of ~90% leaves minimal margin of safety for the $0.48 annual dividend, and Q1 2026's $4.4M net loss demonstrates operational fragility [2]. D/E of 107.7% reflects Phoenix acquisition leverage. EPA enforcement actions for Clean Air Act violations and community complaints about odors and black residue near the Middletown plant create environmental liability and reputational risk [4]. The stock is priced for a second-half recovery that must materialize to justify current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Phoenix Global integration delivering full-year Industrial Services EBITDA of $90-100M, diversifying revenue beyond the secular-decline-exposed core coke segment [1]</w:t>
      </w:r>
    </w:p>
    <w:p>
      <w:pPr>
        <w:spacing w:before="40" w:after="40"/>
        <w:ind w:left="283"/>
      </w:pPr>
      <w:r>
        <w:rPr>
          <w:rFonts w:ascii="Calibri" w:hAnsi="Calibri"/>
          <w:b/>
          <w:color w:val="4A6B25"/>
          <w:sz w:val="20"/>
        </w:rPr>
        <w:t xml:space="preserve">2. </w:t>
      </w:r>
      <w:r>
        <w:rPr>
          <w:rFonts w:ascii="Calibri" w:hAnsi="Calibri"/>
          <w:b w:val="0"/>
          <w:color w:val="3A4A28"/>
          <w:sz w:val="20"/>
        </w:rPr>
        <w:t>Second-half 2026 recovery from Q1 weather disruptions — Q2 already showed $15.6M net income, and raised EBITDA guidance of $250-265M implies strengthening H2 performance [1][2]</w:t>
      </w:r>
    </w:p>
    <w:p>
      <w:pPr>
        <w:spacing w:before="40" w:after="40"/>
        <w:ind w:left="283"/>
      </w:pPr>
      <w:r>
        <w:rPr>
          <w:rFonts w:ascii="Calibri" w:hAnsi="Calibri"/>
          <w:b/>
          <w:color w:val="4A6B25"/>
          <w:sz w:val="20"/>
        </w:rPr>
        <w:t xml:space="preserve">3. </w:t>
      </w:r>
      <w:r>
        <w:rPr>
          <w:rFonts w:ascii="Calibri" w:hAnsi="Calibri"/>
          <w:b w:val="0"/>
          <w:color w:val="3A4A28"/>
          <w:sz w:val="20"/>
        </w:rPr>
        <w:t>Continued dividend growth from 14.9% 5-year CAGR at a 5.1% current yield makes SunCoke attractive to income investors if the payout ratio normalizes with improved earnings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blast furnace steelmaking as EAF adoption accelerates past 70% of U.S. production — SunCoke's core coke demand is structurally at risk from this long-term industry transition [1]</w:t>
      </w:r>
    </w:p>
    <w:p>
      <w:pPr>
        <w:spacing w:before="40" w:after="40"/>
        <w:ind w:left="283"/>
      </w:pPr>
      <w:r>
        <w:rPr>
          <w:rFonts w:ascii="Calibri" w:hAnsi="Calibri"/>
          <w:b/>
          <w:color w:val="4A6B25"/>
          <w:sz w:val="20"/>
        </w:rPr>
        <w:t xml:space="preserve">2. </w:t>
      </w:r>
      <w:r>
        <w:rPr>
          <w:rFonts w:ascii="Calibri" w:hAnsi="Calibri"/>
          <w:b w:val="0"/>
          <w:color w:val="3A4A28"/>
          <w:sz w:val="20"/>
        </w:rPr>
        <w:t>Dividend sustainability at risk — payout ratio of ~90% on forward earnings with negative trailing profit margin of -2.9% leaves no buffer, and any earnings shortfall could force a cut [5]</w:t>
      </w:r>
    </w:p>
    <w:p>
      <w:pPr>
        <w:spacing w:before="40" w:after="40"/>
        <w:ind w:left="283"/>
      </w:pPr>
      <w:r>
        <w:rPr>
          <w:rFonts w:ascii="Calibri" w:hAnsi="Calibri"/>
          <w:b/>
          <w:color w:val="4A6B25"/>
          <w:sz w:val="20"/>
        </w:rPr>
        <w:t xml:space="preserve">3. </w:t>
      </w:r>
      <w:r>
        <w:rPr>
          <w:rFonts w:ascii="Calibri" w:hAnsi="Calibri"/>
          <w:b w:val="0"/>
          <w:color w:val="3A4A28"/>
          <w:sz w:val="20"/>
        </w:rPr>
        <w:t>Environmental liability from EPA enforcement history ($1.995M Clean Air Act settlement) and ongoing community odor complaints near the Middletown plant create regulatory, legal, and reputational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SunCoke's core business — producing metallurgical coke through high-temperature heat recovery cokemaking for blast furnace steelmaking — is a physical-world industrial process that AI structurally cannot displace [1]. The company operates heavy industrial facilities, logistics terminals, and provides on-site material handling and scrap processing services requiring physical infrastructure. AI cannot substitute for coke in steelmaking, nor replace the physical services of the Industrial Services segment. No analysts have flagged AI as a disruption risk for SunCoke. AI Opportunity (0/1): No evidence of AI-related revenue generation. SunCoke does not deploy or sell AI products or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SunCoke Energy Q2 2026 Results — Revenue $475.3M, Net Income $15.6M, Raised EBITDA Guidance $250-265M, BusinessWire July 30, 2026</w:t>
      </w:r>
    </w:p>
    <w:p>
      <w:pPr>
        <w:spacing w:before="20" w:after="20"/>
        <w:ind w:left="170"/>
      </w:pPr>
      <w:r>
        <w:rPr>
          <w:rFonts w:ascii="Calibri" w:hAnsi="Calibri"/>
          <w:b/>
          <w:color w:val="4A6B25"/>
          <w:sz w:val="15"/>
        </w:rPr>
        <w:t xml:space="preserve">2. </w:t>
      </w:r>
      <w:r>
        <w:rPr>
          <w:rFonts w:ascii="Calibri" w:hAnsi="Calibri"/>
          <w:b w:val="0"/>
          <w:color w:val="3A4A28"/>
          <w:sz w:val="17"/>
        </w:rPr>
        <w:t>SunCoke Energy Q1 2026 10-Q — Revenue $455.1M, Net Loss ($4.4M), EPS ($0.05), SEC Filing May 2026</w:t>
      </w:r>
    </w:p>
    <w:p>
      <w:pPr>
        <w:spacing w:before="20" w:after="20"/>
        <w:ind w:left="170"/>
      </w:pPr>
      <w:r>
        <w:rPr>
          <w:rFonts w:ascii="Calibri" w:hAnsi="Calibri"/>
          <w:b/>
          <w:color w:val="4A6B25"/>
          <w:sz w:val="15"/>
        </w:rPr>
        <w:t xml:space="preserve">3. </w:t>
      </w:r>
      <w:r>
        <w:rPr>
          <w:rFonts w:ascii="Calibri" w:hAnsi="Calibri"/>
          <w:b w:val="0"/>
          <w:color w:val="3A4A28"/>
          <w:sz w:val="17"/>
        </w:rPr>
        <w:t>SunCoke Energy Corporate Website, Leadership Team, Glassdoor Reviews (3.3/5, 72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WCPO News — Families Near Middletown SunCoke Plant Report Worsening Odors; EPA SunCoke Haverhill Settlement ($1.995M),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SXC Key Statistics: Stock Price $9.46, Forward P/E 32.62, D/E 107.69%, ROE -7.50%,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