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SYF</w:t>
      </w:r>
      <w:r>
        <w:rPr>
          <w:rFonts w:ascii="Calibri" w:hAnsi="Calibri"/>
          <w:b/>
          <w:color w:val="1A2010"/>
          <w:sz w:val="40"/>
        </w:rPr>
        <w:t xml:space="preserve">  Synchrony Financial</w:t>
      </w:r>
    </w:p>
    <w:p>
      <w:pPr>
        <w:spacing w:after="120"/>
      </w:pPr>
      <w:r>
        <w:rPr>
          <w:rFonts w:ascii="Calibri" w:hAnsi="Calibri"/>
          <w:b/>
          <w:color w:val="6E8450"/>
          <w:sz w:val="18"/>
        </w:rPr>
        <w:t>GROWTH SLEEVE · 2026-08-29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NYSE · United States</w:t>
      </w:r>
    </w:p>
    <w:p>
      <w:pPr>
        <w:spacing w:after="80"/>
      </w:pPr>
      <w:r>
        <w:rPr>
          <w:rFonts w:ascii="Calibri" w:hAnsi="Calibri"/>
          <w:b w:val="0"/>
          <w:color w:val="3A4A28"/>
          <w:sz w:val="20"/>
        </w:rPr>
        <w:t>Synchrony Financial is a premier consumer financial services company delivering customized financing programs across key industries including digital, health and wellness, retail, telecommunications, home, auto, outdoor, pet, and more. Synchrony is the largest provider of private label credit cards in the United States, managing $102B+ in loan receivables and partnering with hundreds of thousands of merchants. The company also offers Synchrony-branded consumer banking products including savings accounts, CDs, and money market accounts through Synchrony Bank.</w:t>
      </w:r>
    </w:p>
    <w:p>
      <w:r>
        <w:rPr>
          <w:rFonts w:ascii="Calibri" w:hAnsi="Calibri"/>
          <w:b/>
          <w:color w:val="6E8450"/>
          <w:sz w:val="18"/>
        </w:rPr>
        <w:t>20,000 Employees · https://www.synchrony.com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Since its 2014 spinoff from GE Capital, Synchrony has evolved from a legacy credit card operation into a digitally-oriented consumer finance platform, though no transformative business model pivot has occurred in the last 5 years — the core remains private label credit cards and consumer lending [1]. Record Q1 2026 purchase volume of $43.0B (up 6% YoY) reflects operational execution rather than innovation [1]. AI Deployment (1/2): Synchrony GPT deployed since 2024 with nearly 100% adoption across the professional workforce, and 90% of employees report trusting the company to use AI responsibly [3]. The company hired Nimrod Barak as Chief AI Officer in 2026 to lead enterprise-wide AI strategy and governance [4]. However, no specific AI-driven revenue gains or quantified cost savings have been publicly reported. Market Share (2/2): Largest private label credit card issuer in the United States with $102B+ in loan receivables and partnerships across hundreds of thousands of merchants [1]. Record Q1 purchase volume demonstrates continued category leadership with network effects and merchant switching costs creating durable competitive position. Product Pipeline (1/2): Executive leadership restructuring in June 2026 created a dedicated Digital platform CEO role to accelerate agentic commerce and AI-driven customer experiences [3][4]. CTO Florin Arghirescu promoted to lead the enterprise AI agenda. Strategic direction is clear but specific product timelines and revenue visibility remain vague. R&amp;D Intensity (1/1): Technology investment exceeds consumer finance industry norms, with a Chief AI Officer, dedicated digital platform leadership, and hybrid cloud infrastructure supporting AI deployment across the enterprise [3][4].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Synchrony's purpose centers on creating financial solutions that power progress for consumers and merchants, enabling access to credit across key industries [5]. Clear value proposition connecting financing to consumer opportunity, but the mission is functional rather than transformative — interchangeable with many consumer finance companies. Community Impact (1/2): MSCI AA ESG rating, regular ESG and TCFD reports, and recognition as an ESG leader among consumer finance peers [6]. General corporate responsibility programs but no specific community investment dollar amounts or distinctive charitable initiatives cited. Employee Retention (2/2): Named No. 1 Best Company to Work For in the U.S. by Fortune/Great Place to Work, driven by a high-trust culture that empowers employees to innovate with technologies like AI [3]. 90% of employees trust the company's approach to AI, indicating exceptional cultural health. This is the strongest possible signal of employee satisfaction and retention. Insider Buying (0/2): No evidence of meaningful net insider buying. The $6.5B share buyback program reflects corporate-level confidence but is not insider personal conviction buying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broadly strong metrics. D/E of 153.8% ($25.34B debt against $16.48B equity) scores 0.64 — elevated for the scoring algorithm but structurally inherent to the consumer lending business model [5]. ROE of 21.78% scores perfectly against the 15% target, reflecting efficient capital deployment in consumer lending [5]. Revenue Growth YoY of approximately 4% (net interest income grew 4% to $4.6B in Q1 2026) scores 0.80, with purchase volume accelerating 6% to $43.0B [1]. Forward P/E of 8.2 scores perfectly at 1.0, well below the 20 target — one of the cheapest large-cap financial stocks in the market [5]. Profit Margin of 18.28% scores 0.91 against the 20% target [5]. Forward PEG estimated at approximately 0.6 based on Q1 2026 EPS growth of 20.1% ($2.27 vs $1.89 prior year), scoring perfectly at 1.0 [1]. Liquidity floor cleared easily: estimated 4M+ avg daily volume at $76 yields $300M+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Synchrony Financial demonstrates mixed infinite game characteristics. The company's exceptional workplace culture (No. 1 Best Company to Work For) and proactive AI adoption suggest long-term organizational health, while the $6.5B buyback and leadership restructuring show willingness to invest in transformation [1][3]. However, the core business remains transactional consumer lending without a deeply articulated Just Cause, and the competitive response to BNPL disruptors has been incremental rather than transformative.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Synchrony's purpose of providing financial solutions that power consumer progress and merchant growth is functional but commercially motivated — enabling people to buy things on credit, while valuable, does not articulate a vision of a future state worth sacrificing for [5]. The purpose is interchangeable with any consumer lending company. Leadership doesn't reference a distinctive cause when explaining strategic decisions. Financial inclusion is implied but not explicitly advanced as a Just Cause.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Named No. 1 Best Company to Work For in the United States by Fortune/Great Place to Work, the strongest possible evidence of a high-trust organizational environment [3]. 90% of employees trust Synchrony to use AI fairly, ethically, and responsibly — exceptional in an era of AI anxiety. The culture is described as giving employees freedom to innovate and experiment, with AI fluency built through job-relevant training including an AI field guide with employee use cases. Carol Juel's 25-year career at Synchrony before being appointed CEO of the Digital platform exemplifies the kind of leadership continuity that signals deep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Synchrony's strategic response to BNPL competitors (Affirm, Klarna, Apple Pay Later) reflects a learning orientation rather than dismissal — the leadership restructuring creating a dedicated Digital platform CEO role and hiring a Chief AI Officer signals acknowledgment that competitive threats require capability building, not just market defense [3][4]. The pivot toward agentic commerce and digital-first experiences shows the company studying rivals' innovations and adapting its model.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2014 spinoff from GE Capital was transformative, creating an independent consumer finance company from a conglomerate division. Since then, Synchrony has incrementally evolved its digital capabilities and expanded into new verticals (health and wellness, pet, outdoor). The 2026 leadership restructuring to accelerate digital and AI growth represents strategic adaptation. However, no fundamental business model reinvention has occurred — the company remains a credit card and consumer lending operation.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$6.5B share buyback program announced in Q1 2026 demonstrates financial confidence and commitment to capital return [1]. Hiring a Chief AI Officer and restructuring executive leadership to prioritize digital and AI growth shows willingness to invest in long-term capability building. The 13% dividend increase signals balance sheet strength. However, these are expected capital allocation decisions for a profitable financial company, not distinctively courageous bets that sacrifice near-term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Synchrony Financial trades at a compelling 8.2x forward P/E with 21.78% ROE, representing one of the most attractively valued large-cap financial stocks in the market [5]. Q1 2026 delivered record purchase volume of $43.0B (up 6% YoY), net earnings of $805M ($2.27 EPS, up 20% YoY), and management guided to FY2026 EPS of $9.10-$9.50 with net charge-offs below 5.5% [1]. The $6.5B buyback program and 13% dividend increase demonstrate capital return commitment, while the hiring of a Chief AI Officer and near-100% workforce AI adoption position the company for digital transformation [1][3][4]. Named No. 1 Best Company to Work For in the U.S., indicating exceptional organizational health that drives long-term competitive advantage [3].</w:t>
      </w:r>
    </w:p>
    <w:p>
      <w:pPr>
        <w:spacing w:after="120"/>
      </w:pPr>
      <w:r>
        <w:rPr>
          <w:rFonts w:ascii="Calibri" w:hAnsi="Calibri"/>
          <w:b w:val="0"/>
          <w:color w:val="3A4A28"/>
          <w:sz w:val="20"/>
        </w:rPr>
        <w:t>The bear case centers on consumer credit cyclicality: net charge-off rates, while guided below 5.5%, remain elevated versus pre-COVID levels, and a macroeconomic downturn could rapidly deteriorate the $102B+ loan receivables portfolio [1]. D/E of 153.8% is structurally inherent to consumer lending but limits financial flexibility during stress periods. Revenue growth of approximately 4% YoY is modest for a stock classified as Growth, and Q2 2026 revenue was described as 'largely flat year-over-year,' suggesting deceleration [2]. BNPL competitors (Affirm, Klarna, Apple Pay Later) continue to capture millennial and Gen-Z wallet share in point-of-sale financing, directly threatening Synchrony's core private label credit card volumes. Regulatory risk remains elevated as the CFPB continues to scrutinize credit card late fees and interest practices.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$6.5B share buyback program commencing Q2 2026 represents approximately 20% of market cap, providing significant EPS accretion and shareholder return alongside the 13% dividend increase [1]</w:t>
      </w:r>
    </w:p>
    <w:p>
      <w:pPr>
        <w:spacing w:before="40" w:after="40"/>
        <w:ind w:left="283"/>
      </w:pPr>
      <w:r>
        <w:rPr>
          <w:rFonts w:ascii="Calibri" w:hAnsi="Calibri"/>
          <w:b/>
          <w:color w:val="4A6B25"/>
          <w:sz w:val="20"/>
        </w:rPr>
        <w:t xml:space="preserve">2. </w:t>
      </w:r>
      <w:r>
        <w:rPr>
          <w:rFonts w:ascii="Calibri" w:hAnsi="Calibri"/>
          <w:b w:val="0"/>
          <w:color w:val="3A4A28"/>
          <w:sz w:val="20"/>
        </w:rPr>
        <w:t>Chief AI Officer Nimrod Barak's enterprise-wide AI strategy could unlock quantifiable cost savings and revenue gains from AI-powered credit decisioning, fraud detection, and personalized marketing across $43B+ in quarterly purchase volume [4]</w:t>
      </w:r>
    </w:p>
    <w:p>
      <w:pPr>
        <w:spacing w:before="40" w:after="40"/>
        <w:ind w:left="283"/>
      </w:pPr>
      <w:r>
        <w:rPr>
          <w:rFonts w:ascii="Calibri" w:hAnsi="Calibri"/>
          <w:b/>
          <w:color w:val="4A6B25"/>
          <w:sz w:val="20"/>
        </w:rPr>
        <w:t xml:space="preserve">3. </w:t>
      </w:r>
      <w:r>
        <w:rPr>
          <w:rFonts w:ascii="Calibri" w:hAnsi="Calibri"/>
          <w:b w:val="0"/>
          <w:color w:val="3A4A28"/>
          <w:sz w:val="20"/>
        </w:rPr>
        <w:t>Net charge-off rate trajectory below 5.5% guidance would validate credit quality normalization and support expansion of the lending book, driving revenue and earnings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Consumer credit deterioration in a macroeconomic downturn could spike net charge-offs above the 5.5% target, rapidly eroding earnings on the $102B+ loan receivables portfolio — consumer finance is inherently procyclical [1]</w:t>
      </w:r>
    </w:p>
    <w:p>
      <w:pPr>
        <w:spacing w:before="40" w:after="40"/>
        <w:ind w:left="283"/>
      </w:pPr>
      <w:r>
        <w:rPr>
          <w:rFonts w:ascii="Calibri" w:hAnsi="Calibri"/>
          <w:b/>
          <w:color w:val="4A6B25"/>
          <w:sz w:val="20"/>
        </w:rPr>
        <w:t xml:space="preserve">2. </w:t>
      </w:r>
      <w:r>
        <w:rPr>
          <w:rFonts w:ascii="Calibri" w:hAnsi="Calibri"/>
          <w:b w:val="0"/>
          <w:color w:val="3A4A28"/>
          <w:sz w:val="20"/>
        </w:rPr>
        <w:t>BNPL competition from Affirm, Klarna, and Apple Pay Later capturing point-of-sale financing volume from younger consumers, eroding Synchrony's core private label credit card business over time</w:t>
      </w:r>
    </w:p>
    <w:p>
      <w:pPr>
        <w:spacing w:before="40" w:after="40"/>
        <w:ind w:left="283"/>
      </w:pPr>
      <w:r>
        <w:rPr>
          <w:rFonts w:ascii="Calibri" w:hAnsi="Calibri"/>
          <w:b/>
          <w:color w:val="4A6B25"/>
          <w:sz w:val="20"/>
        </w:rPr>
        <w:t xml:space="preserve">3. </w:t>
      </w:r>
      <w:r>
        <w:rPr>
          <w:rFonts w:ascii="Calibri" w:hAnsi="Calibri"/>
          <w:b w:val="0"/>
          <w:color w:val="3A4A28"/>
          <w:sz w:val="20"/>
        </w:rPr>
        <w:t>Revenue growth deceleration with Q2 2026 described as largely flat YoY suggests the mid-single-digit loan receivables growth outlook may not translate into meaningful top-line acceleration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Consumer finance operates behind significant regulatory moats — banking licenses, federal and state consumer lending regulations, and established compliance infrastructure create barriers that AI-native competitors cannot easily circumvent [1][5]. Synchrony's private label credit card partnerships with merchants involve deep integration, multi-year contracts, and switching costs that fintech disruptors have struggled to replicate. However, buy-now-pay-later competitors (Affirm, Klarna, Apple Pay Later) leveraging AI-powered instant credit decisioning represent real competitive pressure on traditional credit card volume. Customer service and credit processing functions face AI automation pressure. AI is net positive for Synchrony — better credit scoring reduces losses, AI-powered fraud detection protects margins, and personalized marketing improves conversion. AI Opportunity (1/1): Synchrony GPT deployed across nearly 100% of the professional workforce since 2024, with a dedicated Chief AI Officer hired in 2026 to accelerate enterprise-wide AI capabilities [3][4]. AI tools actively used in credit decisioning, fraud detection, and customer experience. While not a standalone AI revenue line, AI is embedded in the company's core revenue-generating processes.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Synchrony Financial Q1 2026 Earnings Release and $6.5B Buyback Announcement — SEC Filing/ChartMill, April 2026</w:t>
      </w:r>
    </w:p>
    <w:p>
      <w:pPr>
        <w:spacing w:before="20" w:after="20"/>
        <w:ind w:left="170"/>
      </w:pPr>
      <w:r>
        <w:rPr>
          <w:rFonts w:ascii="Calibri" w:hAnsi="Calibri"/>
          <w:b/>
          <w:color w:val="4A6B25"/>
          <w:sz w:val="15"/>
        </w:rPr>
        <w:t xml:space="preserve">2. </w:t>
      </w:r>
      <w:r>
        <w:rPr>
          <w:rFonts w:ascii="Calibri" w:hAnsi="Calibri"/>
          <w:b w:val="0"/>
          <w:color w:val="3A4A28"/>
          <w:sz w:val="17"/>
        </w:rPr>
        <w:t>Synchrony Financial Q2 2026 10-Q Revenue and EPS Summary — TradingView, August 2026</w:t>
      </w:r>
    </w:p>
    <w:p>
      <w:pPr>
        <w:spacing w:before="20" w:after="20"/>
        <w:ind w:left="170"/>
      </w:pPr>
      <w:r>
        <w:rPr>
          <w:rFonts w:ascii="Calibri" w:hAnsi="Calibri"/>
          <w:b/>
          <w:color w:val="4A6B25"/>
          <w:sz w:val="15"/>
        </w:rPr>
        <w:t xml:space="preserve">3. </w:t>
      </w:r>
      <w:r>
        <w:rPr>
          <w:rFonts w:ascii="Calibri" w:hAnsi="Calibri"/>
          <w:b w:val="0"/>
          <w:color w:val="3A4A28"/>
          <w:sz w:val="17"/>
        </w:rPr>
        <w:t>Synchrony Named No. 1 Best Company to Work For in the U.S. — Synchrony Investor Relations, 2026</w:t>
      </w:r>
    </w:p>
    <w:p>
      <w:pPr>
        <w:spacing w:before="20" w:after="20"/>
        <w:ind w:left="170"/>
      </w:pPr>
      <w:r>
        <w:rPr>
          <w:rFonts w:ascii="Calibri" w:hAnsi="Calibri"/>
          <w:b/>
          <w:color w:val="4A6B25"/>
          <w:sz w:val="15"/>
        </w:rPr>
        <w:t xml:space="preserve">4. </w:t>
      </w:r>
      <w:r>
        <w:rPr>
          <w:rFonts w:ascii="Calibri" w:hAnsi="Calibri"/>
          <w:b w:val="0"/>
          <w:color w:val="3A4A28"/>
          <w:sz w:val="17"/>
        </w:rPr>
        <w:t>Synchrony Hires Nimrod Barak as Chief AI Officer and Executive Leadership Restructuring — PR Newswire, June-July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SYF Key Statistics and Financial Data,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Synchrony Financial ESG Rating and Corporate Responsibility — KnowESG/Sustainalytics,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