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TALO</w:t>
      </w:r>
      <w:r>
        <w:rPr>
          <w:rFonts w:ascii="Calibri" w:hAnsi="Calibri"/>
          <w:b/>
          <w:color w:val="1A2010"/>
          <w:sz w:val="40"/>
        </w:rPr>
        <w:t xml:space="preserve">  Talos Energy Inc.</w:t>
      </w:r>
    </w:p>
    <w:p>
      <w:pPr>
        <w:spacing w:after="120"/>
      </w:pPr>
      <w:r>
        <w:rPr>
          <w:rFonts w:ascii="Calibri" w:hAnsi="Calibri"/>
          <w:b/>
          <w:color w:val="6E8450"/>
          <w:sz w:val="18"/>
        </w:rPr>
        <w:t>GROWTH SLEEVE · 2026-09-11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Talos Energy is a technically driven independent offshore oil and gas exploration and production company focused on the U.S. Gulf of Mexico and, increasingly, offshore Mexico. Q2 2026 revenue reached $664.8 million with production of 93.7 MBoe/d and record adjusted free cash flow of $232 million, and the company raised full-year 2026 production guidance to 87,000-91,000 BOE/d [1]. Talos is pursuing bolt-on consolidation (a pending Gulf of America acquisition including Na Kika and Coulomb assets) and international expansion (a Block 29 farm-in offshore Mexico with Repsol), while carrying a leverage ratio of 0.5x and $1.2 billion in total liquidity. Dr. Paul Goodfellow became President and CEO in March 2025.</w:t>
      </w:r>
    </w:p>
    <w:p>
      <w:r>
        <w:rPr>
          <w:rFonts w:ascii="Calibri" w:hAnsi="Calibri"/>
          <w:b/>
          <w:color w:val="6E8450"/>
          <w:sz w:val="18"/>
        </w:rPr>
        <w:t>782 Employees · https://www.talosenergy.com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2024 QuarterNorth Energy acquisition consolidated Talos' Gulf of Mexico scale, and the company continues bolt-on M&amp;A (a pending Gulf of America acquisition of Na Kika and Coulomb deepwater interests expected to close Q3 2026) — a modest, incremental extension of the existing business rather than a transformative pivot [1]. AI Deployment (0/2): No evidence of AI-powered products or internally quantified AI-driven cost savings was found. Market Share (1/2): Talos is described as 'one of the U.S. Gulf of Mexico's largest public independent producers,' a meaningful but not category-defining position relative to major integrated operators active in the same basin. Product Pipeline (1/2): The Block 29 farm-in offshore Mexico with Repsol and the pending Gulf of America bolt-on provide some named, dated visibility into future production growth, though without the scale of a transformative pipeline. R&amp;D Intensity (0/1): As an E&amp;P operator, Talos does not report or appear to spend on formal R&amp;D at a rate distinguishing it from basin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Talos describes its purpose as 'safely and efficiently maximizing cash flows and long-term value' — a financially framed statement with no articulation of purpose beyond shareholder returns. Community Impact (0/2): No evidence of distinctive charitable or community investment programs was found. Employee Retention (2/2): Glassdoor data shows 82% of employees would recommend Talos to a friend, with strong scores for work-life balance (4.2/5) and culture and values (4.1/5) — above-average sentiment for the sector [3]. Insider Buying (0/2): Insiders have been net sellers in 2026, including a director selling 2.3 million shares for $38.5 million in March and another insider selling 120,000 shares in September, with no offsetting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on available metrics (Forward P/E, PEG, and 5-year revenue CAGR were unavailable and excluded). Talos' balance sheet is reasonably conservative — D/E of 57%, comfortably under the 70% target and scoring at the ceiling — and trailing-twelve-month revenue is roughly flat YoY (-0.02%), scoring a middling 0.67 despite Q2 2026 revenue actually growing 57% YoY on a standalone basis. The dimension is dragged to the floor by negative trailing profitability: ROE of -13.70% and profit margin of -19.02% both fall at or below the zero floor for their respective metrics, reflecting TTM GAAP losses of roughly $356 million tied to commodity price swings and non-cash items common in E&amp;P accounting. Liquidity clears easily at roughly $34.4M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Talos presents as a disciplined, well-liked-by-employees operator executing a straightforward roll-up-and-produce strategy in the Gulf of Mexico, but shows little evidence of infinite-game thinking under Sinek's framework. The stated purpose is explicitly financial ('maximizing cash flows and long-term value'), management has been a net seller of stock even as the company touts raised production guidance, and growth has come through consolidation of the existing business rather than any strategic reinvention.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Talos' own description of its purpose — 'safely and efficiently maximizing cash flows and long-term value' — is explicitly a financial objective with no articulated vision of a future state beyond shareholder returns, the clearest marker of a finite-game framing.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showing 82% of employees would recommend Talos to a friend and above-average work-life-balance and culture scores (4.2/5, 4.1/5) suggest a reasonably healthy internal environment, though a lack of longer-tenure or turnover data and at least one review citing leadership concerns keep this from the top tier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Talos framing Gulf of Mexico competitors as sources of self-improvement; available commentary focuses on scale consolidation (QuarterNorth, bolt-on acquisitions)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Talos has grown primarily through consolidating the same core offshore Gulf of Mexico E&amp;P business via M&amp;A (QuarterNorth, pending Na Kika/Coulomb bolt-on, Mexico farm-in) rather than reinventing its business model or entering a fundamentally different market.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earnings for long-term capability; capital allocation has centered on standard E&amp;P playbook moves — buybacks, an ESOP shelf, and bolt-on M&amp;A — rather than a costly principled stand, and insiders have been net sellers of stock in 2026 rather than buyers.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Talos offers a straightforward operational turnaround story: Q2 2026 revenue of $664.8 million grew 57% YoY on a standalone basis, adjusted free cash flow hit a record $232 million, and management raised full-year 2026 production guidance to 87,000-91,000 BOE/d while the leverage ratio fell to a conservative 0.5x with $1.2 billion in total liquidity [1]. A 57% D/E and above-average Glassdoor employee sentiment (82% would recommend, strong culture scores) point to a reasonably well-run organization, and pending growth levers — the Gulf of America bolt-on (Na Kika, Coulomb) and the Block 29 Mexico farm-in with Repsol — provide near-term, dated production visibility [1][3]. AI Resilience is a clean strength: offshore E&amp;P is structurally immune to AI substitution.</w:t>
      </w:r>
    </w:p>
    <w:p>
      <w:pPr>
        <w:spacing w:after="120"/>
      </w:pPr>
      <w:r>
        <w:rPr>
          <w:rFonts w:ascii="Calibri" w:hAnsi="Calibri"/>
          <w:b w:val="0"/>
          <w:color w:val="3A4A28"/>
          <w:sz w:val="20"/>
        </w:rPr>
        <w:t>The bear case centers on trailing profitability and thin strategic differentiation. TTM ROE of -13.70% and profit margin of -19.02% reflect real GAAP losses of roughly $356 million, and trailing-twelve-month revenue is essentially flat despite the recent quarterly acceleration, leaving the Infrastructure score capped at 3 out of 10 [4]. There is no articulated purpose beyond 'maximizing cash flows and long-term value,' insiders have been net sellers (including a $38.5 million sale in March 2026), and growth has come almost entirely through consolidating the existing Gulf of Mexico business rather than any strategic reinvention — a textbook finite-game profile even if operationally sound. Commodity price volatility remains the central risk to any recovery in trailing profitability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Closing of the pending Gulf of America bolt-on acquisition (Na Kika, Coulomb deepwater interests), expected Q3 2026, should be immediately accretive to unit operating expense and EBITDA margins [1]</w:t>
      </w:r>
    </w:p>
    <w:p>
      <w:pPr>
        <w:spacing w:before="40" w:after="40"/>
        <w:ind w:left="283"/>
      </w:pPr>
      <w:r>
        <w:rPr>
          <w:rFonts w:ascii="Calibri" w:hAnsi="Calibri"/>
          <w:b/>
          <w:color w:val="4A6B25"/>
          <w:sz w:val="20"/>
        </w:rPr>
        <w:t xml:space="preserve">2. </w:t>
      </w:r>
      <w:r>
        <w:rPr>
          <w:rFonts w:ascii="Calibri" w:hAnsi="Calibri"/>
          <w:b w:val="0"/>
          <w:color w:val="3A4A28"/>
          <w:sz w:val="20"/>
        </w:rPr>
        <w:t>Execution of the Block 29 offshore Mexico farm-in with Repsol opens a new international growth vector beyond the mature Gulf of Mexico core [2]</w:t>
      </w:r>
    </w:p>
    <w:p>
      <w:pPr>
        <w:spacing w:before="40" w:after="40"/>
        <w:ind w:left="283"/>
      </w:pPr>
      <w:r>
        <w:rPr>
          <w:rFonts w:ascii="Calibri" w:hAnsi="Calibri"/>
          <w:b/>
          <w:color w:val="4A6B25"/>
          <w:sz w:val="20"/>
        </w:rPr>
        <w:t xml:space="preserve">3. </w:t>
      </w:r>
      <w:r>
        <w:rPr>
          <w:rFonts w:ascii="Calibri" w:hAnsi="Calibri"/>
          <w:b w:val="0"/>
          <w:color w:val="3A4A28"/>
          <w:sz w:val="20"/>
        </w:rPr>
        <w:t>Sustained free cash flow generation (record $232 million in Q2 2026) at a 0.5x leverage ratio gives management flexibility for continued buybacks or further bolt-on consolidation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GAAP losses (ROE -13.70%, profit margin -19.02%) mean the Infrastructure score is capped near the floor until sustained profitability returns, and any further commodity price weakness would delay that recovery [4]</w:t>
      </w:r>
    </w:p>
    <w:p>
      <w:pPr>
        <w:spacing w:before="40" w:after="40"/>
        <w:ind w:left="283"/>
      </w:pPr>
      <w:r>
        <w:rPr>
          <w:rFonts w:ascii="Calibri" w:hAnsi="Calibri"/>
          <w:b/>
          <w:color w:val="4A6B25"/>
          <w:sz w:val="20"/>
        </w:rPr>
        <w:t xml:space="preserve">2. </w:t>
      </w:r>
      <w:r>
        <w:rPr>
          <w:rFonts w:ascii="Calibri" w:hAnsi="Calibri"/>
          <w:b w:val="0"/>
          <w:color w:val="3A4A28"/>
          <w:sz w:val="20"/>
        </w:rPr>
        <w:t>Net insider selling in 2026, including a $38.5 million sale in March, is a mildly negative signal on leadership's own read of near-term value versus raised production guidance</w:t>
      </w:r>
    </w:p>
    <w:p>
      <w:pPr>
        <w:spacing w:before="40" w:after="40"/>
        <w:ind w:left="283"/>
      </w:pPr>
      <w:r>
        <w:rPr>
          <w:rFonts w:ascii="Calibri" w:hAnsi="Calibri"/>
          <w:b/>
          <w:color w:val="4A6B25"/>
          <w:sz w:val="20"/>
        </w:rPr>
        <w:t xml:space="preserve">3. </w:t>
      </w:r>
      <w:r>
        <w:rPr>
          <w:rFonts w:ascii="Calibri" w:hAnsi="Calibri"/>
          <w:b w:val="0"/>
          <w:color w:val="3A4A28"/>
          <w:sz w:val="20"/>
        </w:rPr>
        <w:t>No articulated Just Cause or strategic differentiation beyond scale consolidation leaves Talos vulnerable to being viewed as a commodity E&amp;P roll-up rather than a business built to compound value across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Offshore oil and gas exploration and production is an inherently physical-world business — drilling, subsea infrastructure, and hydrocarbon processing cannot be substituted by AI software, and no analyst coverage identified in research raises AI substitution risk for Talos' core business. If anything, the AI data center buildout is an indirect demand tailwind for energy broadly. AI Opportunity (0/1): No evidence of AI-related revenue was found; Talos is a pure upstream producer with no AI product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Talos Energy Q1-Q2 2026 Operational and Financial Results — Revenue $664.8M (Q2, +57% YoY), Record Adjusted FCF $232M, Raised 2026 Production Guidance — PRNewswire, Talos Investor Relations, Yahoo Finance, Quartr, September 2026</w:t>
      </w:r>
    </w:p>
    <w:p>
      <w:pPr>
        <w:spacing w:before="20" w:after="20"/>
        <w:ind w:left="170"/>
      </w:pPr>
      <w:r>
        <w:rPr>
          <w:rFonts w:ascii="Calibri" w:hAnsi="Calibri"/>
          <w:b/>
          <w:color w:val="4A6B25"/>
          <w:sz w:val="15"/>
        </w:rPr>
        <w:t xml:space="preserve">2. </w:t>
      </w:r>
      <w:r>
        <w:rPr>
          <w:rFonts w:ascii="Calibri" w:hAnsi="Calibri"/>
          <w:b w:val="0"/>
          <w:color w:val="3A4A28"/>
          <w:sz w:val="17"/>
        </w:rPr>
        <w:t>Talos Energy Strategic Expansion — Gulf of America Bolt-On Acquisition, Block 29 Mexico Farm-In with Repsol — PRNewswire, TheGlobeAndMail, July 2026</w:t>
      </w:r>
    </w:p>
    <w:p>
      <w:pPr>
        <w:spacing w:before="20" w:after="20"/>
        <w:ind w:left="170"/>
      </w:pPr>
      <w:r>
        <w:rPr>
          <w:rFonts w:ascii="Calibri" w:hAnsi="Calibri"/>
          <w:b/>
          <w:color w:val="4A6B25"/>
          <w:sz w:val="15"/>
        </w:rPr>
        <w:t xml:space="preserve">3. </w:t>
      </w:r>
      <w:r>
        <w:rPr>
          <w:rFonts w:ascii="Calibri" w:hAnsi="Calibri"/>
          <w:b w:val="0"/>
          <w:color w:val="3A4A28"/>
          <w:sz w:val="17"/>
        </w:rPr>
        <w:t>Talos Energy Leadership and Employee Reviews — Glassdoor, Built In, Simply Wall St Management Analysis, 2026</w:t>
      </w:r>
    </w:p>
    <w:p>
      <w:pPr>
        <w:spacing w:before="20" w:after="20"/>
        <w:ind w:left="170"/>
      </w:pPr>
      <w:r>
        <w:rPr>
          <w:rFonts w:ascii="Calibri" w:hAnsi="Calibri"/>
          <w:b/>
          <w:color w:val="4A6B25"/>
          <w:sz w:val="15"/>
        </w:rPr>
        <w:t xml:space="preserve">4. </w:t>
      </w:r>
      <w:r>
        <w:rPr>
          <w:rFonts w:ascii="Calibri" w:hAnsi="Calibri"/>
          <w:b w:val="0"/>
          <w:color w:val="3A4A28"/>
          <w:sz w:val="17"/>
        </w:rPr>
        <w:t>Talos Energy Insider Transactions — Motley Fool, Daily Political, March and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GuruFocus, YCharts — TALO Key Statistics: ROE -13.70%, Profit Margin -19.02%, D/E 0.57, Stock Price $17.22,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