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TAP</w:t>
      </w:r>
      <w:r>
        <w:rPr>
          <w:rFonts w:ascii="Calibri" w:hAnsi="Calibri"/>
          <w:b/>
          <w:color w:val="1A2010"/>
          <w:sz w:val="40"/>
        </w:rPr>
        <w:t xml:space="preserve">  Molson Coors Beverage Company</w:t>
      </w:r>
    </w:p>
    <w:p>
      <w:pPr>
        <w:spacing w:after="120"/>
      </w:pPr>
      <w:r>
        <w:rPr>
          <w:rFonts w:ascii="Calibri" w:hAnsi="Calibri"/>
          <w:b/>
          <w:color w:val="6E8450"/>
          <w:sz w:val="18"/>
        </w:rPr>
        <w:t>DIVIDEND SLEEVE · 2026-09-04 · Inspire: -1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Beverages - Brewers · NYSE · United States</w:t>
      </w:r>
    </w:p>
    <w:p>
      <w:pPr>
        <w:spacing w:after="80"/>
      </w:pPr>
      <w:r>
        <w:rPr>
          <w:rFonts w:ascii="Calibri" w:hAnsi="Calibri"/>
          <w:b w:val="0"/>
          <w:color w:val="3A4A28"/>
          <w:sz w:val="20"/>
        </w:rPr>
        <w:t>Molson Coors manufactures, markets, and distributes beer and malt beverages across the Americas, Europe, Middle East, Africa, and Asia Pacific. Its portfolio includes Coors Light, Miller Lite, Blue Moon, Peroni Nastro Azzurro, and Staropramen, spanning premium, above-premium, and economy segments. Founded in 1774, the company is headquartered in Golden, Colorado. CEO Rahul Goyal (since October 2025) is executing a $450M three-year cost savings program and reaffirmed FY2026 guidance despite volume headwinds.</w:t>
      </w:r>
    </w:p>
    <w:p>
      <w:r>
        <w:rPr>
          <w:rFonts w:ascii="Calibri" w:hAnsi="Calibri"/>
          <w:b/>
          <w:color w:val="6E8450"/>
          <w:sz w:val="18"/>
        </w:rPr>
        <w:t>16,200 Employees · https://www.molsoncoors.com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Molson Coors rebranded from 'Brewing' to 'Beverage' in 2020, diversifying into seltzers (Vizzy, Topo Chico Hard Seltzer), spirits (Blue Run), and non-alcoholic beverages (ZOA Energy), but the core beer business remains dominant and annual revenue declined ~4% in FY2025 to $11.1B [1][2]. Q2 2026 revenue of $3.10B fell 3.3% YoY, suggesting continued top-line pressure [1]. AI Deployment (0/2): No evidence of AI-powered products or quantified AI-driven cost savings. AI Margin Pressure Score of 3/10 from analysts indicates limited AI disruption exposure but also minimal AI adoption [3]. Market Share (1/2): Molson Coors holds the #2 position in U.S. beer behind AB InBev, with Coors Light and Miller Lite retaining share gains from the 2023 Bud Light controversy, though brand volume has declined in both Q1 (-3.1%) and Q2 2026 as gains normalize [1][2]. Pipeline (1/2): The $450M three-year cost savings program and continued above-premium portfolio expansion (Blue Moon, Peroni, ZOA Energy) provide operational visibility, but specific next-gen product launches with revenue forecasts are lacking [2]. R&amp;D Intensity (1/1): Maintains dedicated innovation team with R&amp;D spending at or near industry average for brewers, including the non-alcoholic and functional beverage pipeline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Molson Coors' purpose — 'We brew beverages that unite people to celebrate all life's moments' — is clear and connects its products to human connection, but is not distinctive among beverage companies; it could be interchangeable with any brewer [4]. The 252-year heritage provides authenticity but the mission doesn't articulate a deeper transformative purpose. Community Impact (1/2): The company is a signatory to the UN Global Compact and CEO Water Mandate, publishes annual sustainability reports (Our Imprint Report), and has water conservation and GHG reduction targets [4]. Recently rolled back DEI programs and supplier diversity quotas in favor of internal culture metrics. General corporate philanthropy exists but no standout charitable initiatives with specific dollar amounts were identified. Employee Retention (0/2): Glassdoor reviews reveal mixed sentiment — 3.5/5 for culture and values, with criticism that accountability is 'disproportionately pushed downward' and that 'return-to-office mandates, layoffs, and organizational reshuffling have significantly impacted trust and engagement' [3]. New CEO Goyal has restructured the organization under 'transform faster' urgency. Insider Buying (1/2): Director Andrew Thomas Molson made an open-market purchase of 7,500 shares for $350,924 in November 2025, showing family member conviction [5]. However, net insider activity over 90 days shows $7K in purchases vs. $466K in sales — modestly net negative.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sleeve metrics. Molson Coors' Infrastructure benefits from deep value valuation and long dividend history while being penalized by GAAP profitability distortions. D/E of 62% is below the 70% target, and forward P/E of 8.70x is deeply discounted versus beverage peers and well below the 20x target [5]. Q2 2026 delivered adjusted EPS of $1.58 (+4.4% beat) and EBITDA of $624.6M (+3.8% beat), demonstrating continued cost discipline [1]. The dividend profile is strong: 38+ consecutive years of payments, 5 consecutive years of growth, a 4.61% yield with a sustainable ~36% adjusted payout ratio, and a 5-year dividend growth CAGR of ~7.1% [5]. Key weaknesses: GAAP ROE is negative (-18.2%) and GAAP net margin is -20.8% due to $2.1B in goodwill impairment charges recognized in FY2025, which wipes out both metrics despite positive underlying earnings [1][5]. Revenue declined ~4% in FY2025 and Q2 2026 was down 3.3% YoY. 5-year revenue CAGR of ~1.4% reflects structural volume headwinds in the U.S. beer market. Liquidity floor cleared: 2.75M avg volume x $44.68 = ~$122.9M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Molson Coors shows mixed infinite game characteristics under new CEO Rahul Goyal. The company's 252-year heritage demonstrates extraordinary endurance — few companies survive across centuries — and the 2020 'Beverage' rebrand signals willingness to evolve beyond beer. However, the aggressive $450M cost-cutting program and finite language around 'transform faster,' 'tangible results,' and 'urgency' suggest near-term earnings optimization over long-term capability building. Q2 2026's revenue decline of 3.3% YoY despite cost-driven earnings beats underscores that the company is managing decline rather than building growth. The DEI rollback and ESG compensation changes reflect pragmatic governance shifts.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Molson Coors' purpose of 'brewing beverages that unite people to celebrate all life's moments' exists but is shallow — interchangeable with any beverage company and not meaningfully referenced in strategic decisions [4]. The 2020 rebrand from 'Brewing' to 'Beverage' was about portfolio diversification, not advancing a deeper cause. New CEO Goyal's communications focus on 'transform faster' and operational urgency rather than a vision of a better future [3]. The 252-year history shows remarkable persistence but the purpose hasn't been articulated in a way Sinek would recognize as a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Adequate trust with emerging cultural concerns. CEO Goyal is a 24-year Molson Coors veteran, providing institutional continuity as the third CEO in a decade [3]. However, Glassdoor reviews flag declining trust: 'return-to-office mandates, office redesigns, layoffs, and ongoing organizational reshuffling have significantly impacted trust and engagement,' with accountability described as 'disproportionately pushed downward' [3]. The 16,200-employee organization is experiencing restructuring fatigue under Goyal's transformation agenda, and the DEI rollback may further impact inclusion perceptions among some employees.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Molson Coors acknowledges AB InBev's scale, Constellation's premium positioning, and craft brewers' innovation as competitive pressures that drive its own portfolio evolution [1]. The company's above-premium strategy (Blue Moon, Peroni) and non-alcoholic expansion (ZOA Energy) demonstrate learning from rivals' strengths rather than zero-sum competitive destruction. Management language around competition frames it as motivation to innovate and improve mix rather than to 'win' or 'crush'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2020 rebrand from 'Molson Coors Brewing' to 'Molson Coors Beverage' and expansion into seltzers, spirits (Blue Run), energy drinks (ZOA), and non-alcoholic beverages represents incremental evolution in response to shifting consumer preferences [1]. The company has adapted over 252 years — surviving Prohibition, industry consolidation, and the craft beer revolution — but the core business remains beer manufacturing and distribution. This is evolutionary, not transformative flexibility. No evidence of abandoning a profitable-but-misaligned business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$450M cost-savings program and organizational restructuring under Goyal show willingness to make difficult operational decisions [2]. Q1-Q2 2026 results demonstrate execution — adjusted EPS beating estimates in both quarters despite declining revenue. The reaffirmation of FY2026 guidance despite external headwinds shows confidence [1]. However, these are conventional cost-cutting measures, not courageous long-term bets that sacrifice near-term earnings. The 2026 outlook for underlying EPS decline frames this as a defensive reset year rather than an investment cycle.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Molson Coors offers deep value at 8.70x forward P/E with a 4.61% dividend yield backed by 38+ consecutive years of payments and 5 consecutive years of growth [5]. Q2 2026 demonstrated continued cost discipline with adjusted EPS of $1.58 beating estimates by 4.4% and EBITDA of $624.6M beating by 3.8%, while management reaffirmed FY2026 guidance despite macro headwinds [1]. The #2 U.S. beer position with Coors Light and Miller Lite provides defensive brand equity, and the above-premium portfolio expansion (Blue Moon, Peroni, ZOA Energy) positions the company for revenue mix improvement over time. The $450M three-year cost savings program provides earnings visibility through 2028. At current levels, investors pay less than 9x underlying earnings for a 252-year-old, cash-generative beverage franchise with family ownership alignment (Molson family board representation) [3].</w:t>
      </w:r>
    </w:p>
    <w:p>
      <w:pPr>
        <w:spacing w:after="120"/>
      </w:pPr>
      <w:r>
        <w:rPr>
          <w:rFonts w:ascii="Calibri" w:hAnsi="Calibri"/>
          <w:b w:val="0"/>
          <w:color w:val="3A4A28"/>
          <w:sz w:val="20"/>
        </w:rPr>
        <w:t>The bear case centers on deteriorating top-line fundamentals and structural industry headwinds. Q2 2026 revenue declined 3.3% YoY to $3.10B, FY2025 revenue declined ~4% to ~$11.1B, and the 5-year revenue CAGR of only 1.4% reflects secular U.S. beer volume decline as younger consumers shift toward spirits, cannabis, and moderation trends [1][2]. The $2.1B goodwill impairment in FY2025 wiped out GAAP earnings (net loss of $10.75/share) and signals management's admission that prior acquisitions destroyed value [2]. GAAP ROE of -18.2% and net margin of -20.8% mask underlying profitability but indicate real balance sheet damage. The $6.5B debt load against declining revenue limits financial flexibility, and commodity inflation (aluminum, barley) creates persistent cost pressure. Three CEO changes in a decade raises questions about strategic continuity, and Goyal's 'transform faster' mandate may sacrifice organizational trust for near-term results [3]. The Inspire score of -1 (MIXED) reflects the inherent tension between alcohol production and faith-based investing criteria.</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$450M three-year cost savings program delivering consistent earnings beats — Q2 2026 adjusted EPS $1.58 (+4.4% beat) and EBITDA $624.6M (+3.8% beat) — with savings expected to accelerate through 2027-2028 [1]</w:t>
      </w:r>
    </w:p>
    <w:p>
      <w:pPr>
        <w:spacing w:before="40" w:after="40"/>
        <w:ind w:left="283"/>
      </w:pPr>
      <w:r>
        <w:rPr>
          <w:rFonts w:ascii="Calibri" w:hAnsi="Calibri"/>
          <w:b/>
          <w:color w:val="4A6B25"/>
          <w:sz w:val="20"/>
        </w:rPr>
        <w:t xml:space="preserve">2. </w:t>
      </w:r>
      <w:r>
        <w:rPr>
          <w:rFonts w:ascii="Calibri" w:hAnsi="Calibri"/>
          <w:b w:val="0"/>
          <w:color w:val="3A4A28"/>
          <w:sz w:val="20"/>
        </w:rPr>
        <w:t>Above-premium portfolio expansion (Blue Moon, Peroni, Topo Chico Hard Seltzer, ZOA Energy) driving revenue mix improvement toward higher-margin brands to offset economy segment volume declines [2]</w:t>
      </w:r>
    </w:p>
    <w:p>
      <w:pPr>
        <w:spacing w:before="40" w:after="40"/>
        <w:ind w:left="283"/>
      </w:pPr>
      <w:r>
        <w:rPr>
          <w:rFonts w:ascii="Calibri" w:hAnsi="Calibri"/>
          <w:b/>
          <w:color w:val="4A6B25"/>
          <w:sz w:val="20"/>
        </w:rPr>
        <w:t xml:space="preserve">3. </w:t>
      </w:r>
      <w:r>
        <w:rPr>
          <w:rFonts w:ascii="Calibri" w:hAnsi="Calibri"/>
          <w:b w:val="0"/>
          <w:color w:val="3A4A28"/>
          <w:sz w:val="20"/>
        </w:rPr>
        <w:t>Deep value re-rating potential at 8.70x forward P/E with 4.61% dividend yield — if FY2027 shows revenue stabilization alongside full cost savings realization, multiple expansion from sub-9x to 11-12x would drive 25-35% upside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Secular U.S. beer volume decline accelerating — Q1 brand volume -3.1%, Q2 revenue -3.3% YoY — as consumers shift toward spirits, cannabis alternatives, and moderation, particularly pressuring economy brands like Keystone and Milwaukee's Best [1][2]</w:t>
      </w:r>
    </w:p>
    <w:p>
      <w:pPr>
        <w:spacing w:before="40" w:after="40"/>
        <w:ind w:left="283"/>
      </w:pPr>
      <w:r>
        <w:rPr>
          <w:rFonts w:ascii="Calibri" w:hAnsi="Calibri"/>
          <w:b/>
          <w:color w:val="4A6B25"/>
          <w:sz w:val="20"/>
        </w:rPr>
        <w:t xml:space="preserve">2. </w:t>
      </w:r>
      <w:r>
        <w:rPr>
          <w:rFonts w:ascii="Calibri" w:hAnsi="Calibri"/>
          <w:b w:val="0"/>
          <w:color w:val="3A4A28"/>
          <w:sz w:val="20"/>
        </w:rPr>
        <w:t>Commodity inflation headwinds from aluminum pricing, barley, and transportation costs creating persistent margin pressure that the cost savings program must offset just to maintain current profitability [1]</w:t>
      </w:r>
    </w:p>
    <w:p>
      <w:pPr>
        <w:spacing w:before="40" w:after="40"/>
        <w:ind w:left="283"/>
      </w:pPr>
      <w:r>
        <w:rPr>
          <w:rFonts w:ascii="Calibri" w:hAnsi="Calibri"/>
          <w:b/>
          <w:color w:val="4A6B25"/>
          <w:sz w:val="20"/>
        </w:rPr>
        <w:t xml:space="preserve">3. </w:t>
      </w:r>
      <w:r>
        <w:rPr>
          <w:rFonts w:ascii="Calibri" w:hAnsi="Calibri"/>
          <w:b w:val="0"/>
          <w:color w:val="3A4A28"/>
          <w:sz w:val="20"/>
        </w:rPr>
        <w:t>$6.5B debt load combined with $2.1B goodwill impairment in FY2025 (net loss of $10.75/share, GAAP ROE -18.2%) signals value destruction from prior acquisitions and limits financial flexibility for growth investments or accelerated deleveraging [2][5]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Brewing and distributing physical beverages is structurally immune to AI displacement — AI cannot replace the manufacturing, distribution, and retail of beer [1]. Molson Coors' core business involves physical-world operations (breweries, cold chain logistics, retail and bar relationships) that require no digital substitution defense. The brand equity of 252-year-old Coors and Miller franchises is not replicable by AI. The regulated three-tier alcohol distribution system (manufacturer-distributor-retailer) adds a structural moat that AI cannot bypass. Analysts express zero concern about AI disrupting the beer industry, and the company's AI Margin Pressure Score of 3/10 confirms limited disruption risk [3]. AI Opportunity (0/1): No evidence of AI-generated revenue or AI-powered products. AI remains a potential back-office efficiency tool for supply chain optimization and demand forecasting but does not contribute to revenue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-1</w:t>
      </w:r>
      <w:r>
        <w:rPr>
          <w:rFonts w:ascii="Calibri" w:hAnsi="Calibri"/>
          <w:b/>
          <w:color w:val="B8860B"/>
          <w:sz w:val="20"/>
        </w:rPr>
        <w:t xml:space="preserve">    MIXED</w:t>
      </w:r>
    </w:p>
    <w:p>
      <w:pPr>
        <w:spacing w:before="80" w:after="40"/>
      </w:pPr>
      <w:r>
        <w:rPr>
          <w:rFonts w:ascii="Calibri" w:hAnsi="Calibri"/>
          <w:b/>
          <w:color w:val="6E8450"/>
          <w:sz w:val="18"/>
        </w:rPr>
        <w:t xml:space="preserve">Negative: </w:t>
      </w:r>
      <w:r>
        <w:rPr>
          <w:rFonts w:ascii="Calibri" w:hAnsi="Calibri"/>
          <w:b/>
          <w:color w:val="DC2626"/>
          <w:sz w:val="17"/>
        </w:rPr>
        <w:t xml:space="preserve"> Alcohol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Molson Coors Q2 2026 Earnings Results — Revenue $3.10B (-3.3% YoY), Adjusted EPS $1.58 (+4.4% beat), EBITDA $624.6M (+3.8% beat), FY2026 guidance reaffirmed, August 2026</w:t>
      </w:r>
    </w:p>
    <w:p>
      <w:pPr>
        <w:spacing w:before="20" w:after="20"/>
        <w:ind w:left="170"/>
      </w:pPr>
      <w:r>
        <w:rPr>
          <w:rFonts w:ascii="Calibri" w:hAnsi="Calibri"/>
          <w:b/>
          <w:color w:val="4A6B25"/>
          <w:sz w:val="15"/>
        </w:rPr>
        <w:t xml:space="preserve">2. </w:t>
      </w:r>
      <w:r>
        <w:rPr>
          <w:rFonts w:ascii="Calibri" w:hAnsi="Calibri"/>
          <w:b w:val="0"/>
          <w:color w:val="3A4A28"/>
          <w:sz w:val="17"/>
        </w:rPr>
        <w:t>Molson Coors Q1 2026 and FY2025 Results — Q1 revenue $2.35B (+2.0%), FY2025 revenue $11.1B (-4.2%), net loss $2.14B ($10.75/share), $450M cost savings program, $2.1B goodwill impairment</w:t>
      </w:r>
    </w:p>
    <w:p>
      <w:pPr>
        <w:spacing w:before="20" w:after="20"/>
        <w:ind w:left="170"/>
      </w:pPr>
      <w:r>
        <w:rPr>
          <w:rFonts w:ascii="Calibri" w:hAnsi="Calibri"/>
          <w:b/>
          <w:color w:val="4A6B25"/>
          <w:sz w:val="15"/>
        </w:rPr>
        <w:t xml:space="preserve">3. </w:t>
      </w:r>
      <w:r>
        <w:rPr>
          <w:rFonts w:ascii="Calibri" w:hAnsi="Calibri"/>
          <w:b w:val="0"/>
          <w:color w:val="3A4A28"/>
          <w:sz w:val="17"/>
        </w:rPr>
        <w:t>Molson Coors Leadership and Culture — CEO Rahul Goyal (24-year veteran, since Oct 2025), Glassdoor 3.5/5 culture rating, organizational restructuring, DEI rollback, AI Margin Pressure Score 3/10</w:t>
      </w:r>
    </w:p>
    <w:p>
      <w:pPr>
        <w:spacing w:before="20" w:after="20"/>
        <w:ind w:left="170"/>
      </w:pPr>
      <w:r>
        <w:rPr>
          <w:rFonts w:ascii="Calibri" w:hAnsi="Calibri"/>
          <w:b/>
          <w:color w:val="4A6B25"/>
          <w:sz w:val="15"/>
        </w:rPr>
        <w:t xml:space="preserve">4. </w:t>
      </w:r>
      <w:r>
        <w:rPr>
          <w:rFonts w:ascii="Calibri" w:hAnsi="Calibri"/>
          <w:b w:val="0"/>
          <w:color w:val="3A4A28"/>
          <w:sz w:val="17"/>
        </w:rPr>
        <w:t>Molson Coors Sustainability — S&amp;P Global ESG Score 47/100, UN Global Compact signatory, CEO Water Mandate, Our Imprint Report FY2024, DEI policy revision 2025</w:t>
      </w:r>
    </w:p>
    <w:p>
      <w:pPr>
        <w:spacing w:before="20" w:after="20"/>
        <w:ind w:left="170"/>
      </w:pPr>
      <w:r>
        <w:rPr>
          <w:rFonts w:ascii="Calibri" w:hAnsi="Calibri"/>
          <w:b/>
          <w:color w:val="4A6B25"/>
          <w:sz w:val="15"/>
        </w:rPr>
        <w:t xml:space="preserve">5. </w:t>
      </w:r>
      <w:r>
        <w:rPr>
          <w:rFonts w:ascii="Calibri" w:hAnsi="Calibri"/>
          <w:b w:val="0"/>
          <w:color w:val="3A4A28"/>
          <w:sz w:val="17"/>
        </w:rPr>
        <w:t>StockAnalysis.com, Yahoo Finance — TAP Statistics: Forward P/E 8.70x, D/E 62%, Dividend Yield 4.61%, ROE -18.2%, Stock Price $44.68, Avg Volume 2.75M,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