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TCOM</w:t>
      </w:r>
      <w:r>
        <w:rPr>
          <w:rFonts w:ascii="Calibri" w:hAnsi="Calibri"/>
          <w:b/>
          <w:color w:val="1A2010"/>
          <w:sz w:val="40"/>
        </w:rPr>
        <w:t xml:space="preserve">  Trip.com Group Limited</w:t>
      </w:r>
    </w:p>
    <w:p>
      <w:pPr>
        <w:spacing w:after="120"/>
      </w:pPr>
      <w:r>
        <w:rPr>
          <w:rFonts w:ascii="Calibri" w:hAnsi="Calibri"/>
          <w:b/>
          <w:color w:val="6E8450"/>
          <w:sz w:val="18"/>
        </w:rPr>
        <w:t>GROWTH SLEEVE · 2026-09-02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Discretionary · Travel Services · NASDAQ · China</w:t>
      </w:r>
    </w:p>
    <w:p>
      <w:pPr>
        <w:spacing w:after="80"/>
      </w:pPr>
      <w:r>
        <w:rPr>
          <w:rFonts w:ascii="Calibri" w:hAnsi="Calibri"/>
          <w:b w:val="0"/>
          <w:color w:val="3A4A28"/>
          <w:sz w:val="20"/>
        </w:rPr>
        <w:t>Trip.com Group is China's largest and one of the world's leading online travel agencies, operating a comprehensive travel service platform encompassing accommodation reservations, transportation ticketing, packaged tours, and corporate travel management under the Trip.com, Ctrip, Skyscanner, and Qunar brands. The company is dual-listed on NASDAQ and HKEX. In 2026, the company faced a SAMR anti-monopoly investigation that resulted in RMB 1.66B ($244M) in confiscated gains and compulsory refund of RMB 122M ($18M) to hotel operators. Co-founders abruptly resigned from the board in February 2026. Q1 2026 revenue grew 17% YoY to RMB 16.2B ($2.4B).</w:t>
      </w:r>
    </w:p>
    <w:p>
      <w:r>
        <w:rPr>
          <w:rFonts w:ascii="Calibri" w:hAnsi="Calibri"/>
          <w:b/>
          <w:color w:val="6E8450"/>
          <w:sz w:val="18"/>
        </w:rPr>
        <w:t>43,574 Employees · https://www.trip.com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Trip.com executed a successful transformation from China-centric domestic OTA to global travel platform, with Q1 2026 international OTA gross bookings growing 65% YoY and inbound travel bookings surging 90% YoY [1]. The Skyscanner acquisition and Trip.com brand launch established new geographic revenue streams across 200+ countries. Corporate travel revenue grew 20% YoY to RMB 690M in Q1 2026. AI Deployment (2/2): R&amp;D expenditure reached RMB 15.1B (24% of revenue) in FY2025, with AI deployed across the platform including TripGen AI chatbot providing real-time personalized travel recommendations [2]. Engineers leverage AI to reduce coding time by 15-30%, a quantified productivity improvement. Gang Chen (former Qunar CEO) was appointed Chief Product Officer specifically to lead AI product strategy. Market Share (2/2): Trip.com holds dominant market position in China's online travel market — confirmed by the SAMR anti-monopoly finding of 'abuse of a dominant market position' under PRC Anti-Monopoly Law, which effectively validates category-defining dominance [3]. Product Pipeline (1/2): AI-driven personalization, corporate travel expansion, and 'Old Friends Club' and 'Entertainment + Travel' new product initiatives are in development, but no specific next-gen products with named launch dates and revenue visibility [2]. R&amp;D Intensity (1/1): R&amp;D spending at 24% of net operating revenue is exceptionally high for any industry, demonstrating above-average commitment to frontier technology investment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Trip.com's purpose centers on making travel easier and more accessible through technology — clear and functional but interchangeable with Booking.com, Expedia, or any travel platform [2]. CEO Jane Sun has articulated a values framework prioritizing service and trust over pricing, but the company's anti-competitive practices (compulsorily deducting RMB 122M in hotel security deposits, SAMR violations) undermine the stated values [3]. Community Impact (1/2): Trip.com publishes annual ESG reports aligned with UN SDGs, committed to carbon neutrality by 2050, and established a four-pillar ESG framework with a dedicated risk management committee [4]. Tourism Innovation Fund supports sustainable tourism development. No specific charitable dollar amounts or distinctive community investment programs identified. Employee Retention (0/2): No publicly available retention or tenure data for the 43,574-employee organization. The abrupt co-founder board resignations in February 2026 with no explanation create uncertainty about internal dynamics [3]. Insider Buying (0/2): No evidence of meaningful open-market insider purchases by executives. Co-founders James Liang and Neil Shen resigned from the board in February 2026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18% reflects a fortress balance sheet with RMB 104B ($15.1B) in cash and cash equivalents as of March 2026 [1]. Forward P/E of 12.30 is well below the 20 target, reflecting a deep China regulatory discount amplified by the SAMR investigation and securities class action [5]. Revenue growth YoY of 17% exceeds the 10% target, though Q2 2026 guidance of only 3-8% signals deceleration [1]. ROE of 21.12% exceeds the 15% target. Profit margin of 48.65% greatly exceeds the 20% target, though this is inflated by non-operating investment income; operating margin is approximately 25% [1]. 5-year revenue CAGR of approximately 27% benefits from COVID recovery base effects. The PEG ratio of 3.03 slightly exceeds the 3.0 floor, scoring 0 on this metric with 2x weight, preventing a perfect infrastructure score. Liquidity clears the floor easily at ~$86.8M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Trip.com operates with a primarily finite competitive mindset focused on market dominance and share capture. The SAMR anti-monopoly finding of 'abuse of dominant market position' — including compulsorily deducting RMB 122M in hotel security deposits from suppliers — is the clearest possible signal of a company playing to win rather than to keep playing [3]. The abrupt resignation of co-founders from the board in February 2026 with no explanation, combined with a securities class action over AI pricing controversy, reveal governance instability inconsistent with infinite game play. CEO Jane Sun brings personal purpose through equality advocacy, but the company's strategic decisions are fundamentally driven by market control and financial optimization.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Trip.com's purpose — making travel easier and better through technology — is a business function, not a Just Cause in Sinek's framework [2]. It does not describe a future state so appealing that people would sacrifice to advance it. The SAMR investigation revealed the company prioritizes market dominance over ethical supplier relationships — compulsorily deducting RMB 122M in hotel security deposits and imposing unreasonable transaction terms are incompatible with a genuine Just Cause [3].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Significant governance instability undermines organizational trust. Co-founders James Liang and Neil Shen abruptly resigned from the board on February 26, 2026 with no public explanation — a destabilizing event for any organization [3]. The SAMR findings of compulsory hotel security deposit deductions and unreasonable transaction terms suggest the company's dominant market behavior extends to supplier relationships, indicating a culture of coercion rather than trust. No specific employee retention or satisfaction data available for the 43,574-employee organization.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The SAMR anti-monopoly finding of 'abuse of dominant market position' — restricting business counterparties through exclusive arrangements and imposing unreasonable transaction terms — represents the antithesis of Sinek's worthy rival concept [3]. No evidence of management citing Booking.com, Expedia, or Meituan as companies whose strengths reveal Trip.com's weaknesses. The AI pricing controversy further suggests competitive behavior oriented toward extraction rather than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Trip.com evolved from a domestic Chinese hotel booking site to a global multi-brand travel platform (Ctrip, Qunar, Trip.com, Skyscanner) with international OTA bookings growing 65% YoY in Q1 2026 [1]. The appointment of Gang Chen as CPO to lead AI product strategy represents continued strategic evolution. However, these are incremental market extensions rather than transformative reinventions — the company has been an OTA since 1999 and has never fundamentally pivoted its core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Trip.com invested heavily in international expansion and R&amp;D (24% of revenue) during and after COVID when travel was decimated, showing willingness to invest during downturns [2]. Maintaining the Trip.com global brand buildout against established competitors like Booking.com required conviction and capital commitment. CEO Sun's public advocacy for gender equality in China carries personal and political risk. However, the SAMR anti-competitive violations suggest the company takes shortcuts to maintain dominance rather than competing through superior service.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Trip.com Group is China's dominant travel platform delivering Q1 2026 revenue of RMB 16.2B ($2.4B, up 17% YoY) with international OTA bookings surging 65% and inbound travel growing 90%, demonstrating the global expansion thesis is working [1]. At 12.30x forward earnings with 21.12% ROE, 48.65% profit margin, and RMB 104B ($15.1B) in cash, the stock trades at roughly half the multiple of Booking Holdings (~25x). R&amp;D investment at 24% of revenue (RMB 15.1B) positions the company as a technology-first travel platform with AI deployed across search, pricing, and customer service [2]. The $60.69 analyst consensus target implies ~39% upside from $43.64, reflecting the deep China regulatory discount that may normalize as SAMR penalties are absorbed.</w:t>
      </w:r>
    </w:p>
    <w:p>
      <w:pPr>
        <w:spacing w:after="120"/>
      </w:pPr>
      <w:r>
        <w:rPr>
          <w:rFonts w:ascii="Calibri" w:hAnsi="Calibri"/>
          <w:b w:val="0"/>
          <w:color w:val="3A4A28"/>
          <w:sz w:val="20"/>
        </w:rPr>
        <w:t>The bear case has intensified materially in 2026. The SAMR anti-monopoly investigation concluded with RMB 1.66B ($244M) in confiscated gains and a compulsory refund of RMB 122M ($18M) to hotel operators — confirming 'abuse of dominant market position' [3]. A securities class action has been filed over AI pricing controversy. Co-founders James Liang and Neil Shen abruptly resigned from the board in February 2026 with no explanation, creating governance uncertainty. Q2 2026 guidance of only 3-8% revenue growth represents severe deceleration from 17% in Q1, with management citing 'macro headwinds and compliance-related operational adjustments' [1]. The reported profit margin of 48.65% is inflated by non-operating investment income; true operating margin is ~25% and faces compression from compliance costs and the $244M penalty. As a Chinese ADR, TCOM carries VIE structural risk and potential delisting exposure under the Holding Foreign Companies Accountable Act, amplified by ongoing US-China geopolitical tensions. The Inspire Impact Score of 0 (MIXED) reflects a neutral faith alignment profile.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International OTA bookings growing 65% YoY and inbound travel growing 90% YoY provide meaningful diversification away from decelerating domestic China growth, with the Trip.com brand now operating in 200+ countries [1]</w:t>
      </w:r>
    </w:p>
    <w:p>
      <w:pPr>
        <w:spacing w:before="40" w:after="40"/>
        <w:ind w:left="283"/>
      </w:pPr>
      <w:r>
        <w:rPr>
          <w:rFonts w:ascii="Calibri" w:hAnsi="Calibri"/>
          <w:b/>
          <w:color w:val="4A6B25"/>
          <w:sz w:val="20"/>
        </w:rPr>
        <w:t xml:space="preserve">2. </w:t>
      </w:r>
      <w:r>
        <w:rPr>
          <w:rFonts w:ascii="Calibri" w:hAnsi="Calibri"/>
          <w:b w:val="0"/>
          <w:color w:val="3A4A28"/>
          <w:sz w:val="20"/>
        </w:rPr>
        <w:t>SAMR investigation resolution with defined penalties ($244M confiscated + $18M refund) removes the worst-case regulatory tail risk, and the stock at 12.30x forward earnings has substantial re-rating potential toward the $60.69 analyst consensus [3][5]</w:t>
      </w:r>
    </w:p>
    <w:p>
      <w:pPr>
        <w:spacing w:before="40" w:after="40"/>
        <w:ind w:left="283"/>
      </w:pPr>
      <w:r>
        <w:rPr>
          <w:rFonts w:ascii="Calibri" w:hAnsi="Calibri"/>
          <w:b/>
          <w:color w:val="4A6B25"/>
          <w:sz w:val="20"/>
        </w:rPr>
        <w:t xml:space="preserve">3. </w:t>
      </w:r>
      <w:r>
        <w:rPr>
          <w:rFonts w:ascii="Calibri" w:hAnsi="Calibri"/>
          <w:b w:val="0"/>
          <w:color w:val="3A4A28"/>
          <w:sz w:val="20"/>
        </w:rPr>
        <w:t>AI platform investment at 24% of revenue with TripGen chatbot, AI-driven personalization, and 15-30% engineering productivity gains creating durable competitive advantages and operating leverage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SAMR penalties of $244M in confiscated gains plus $18M refund, combined with ongoing compliance adjustments, create near-term earnings headwinds and may permanently constrain Trip.com's ability to leverage its dominant market position in China [3]</w:t>
      </w:r>
    </w:p>
    <w:p>
      <w:pPr>
        <w:spacing w:before="40" w:after="40"/>
        <w:ind w:left="283"/>
      </w:pPr>
      <w:r>
        <w:rPr>
          <w:rFonts w:ascii="Calibri" w:hAnsi="Calibri"/>
          <w:b/>
          <w:color w:val="4A6B25"/>
          <w:sz w:val="20"/>
        </w:rPr>
        <w:t xml:space="preserve">2. </w:t>
      </w:r>
      <w:r>
        <w:rPr>
          <w:rFonts w:ascii="Calibri" w:hAnsi="Calibri"/>
          <w:b w:val="0"/>
          <w:color w:val="3A4A28"/>
          <w:sz w:val="20"/>
        </w:rPr>
        <w:t>Q2 2026 revenue guidance of only 3-8% growth represents dramatic deceleration from 17% in Q1, with management citing macro headwinds and compliance-driven operational adjustments that may persist [1]</w:t>
      </w:r>
    </w:p>
    <w:p>
      <w:pPr>
        <w:spacing w:before="40" w:after="40"/>
        <w:ind w:left="283"/>
      </w:pPr>
      <w:r>
        <w:rPr>
          <w:rFonts w:ascii="Calibri" w:hAnsi="Calibri"/>
          <w:b/>
          <w:color w:val="4A6B25"/>
          <w:sz w:val="20"/>
        </w:rPr>
        <w:t xml:space="preserve">3. </w:t>
      </w:r>
      <w:r>
        <w:rPr>
          <w:rFonts w:ascii="Calibri" w:hAnsi="Calibri"/>
          <w:b w:val="0"/>
          <w:color w:val="3A4A28"/>
          <w:sz w:val="20"/>
        </w:rPr>
        <w:t>Governance instability — co-founders' unexplained board resignations, AI pricing controversy, and securities class action — creates uncertainty about strategic direction and management accountability, compounded by VIE structural risk as a Chinese ADR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Online travel agencies face genuine AI substitution risk as AI travel assistants from Google, OpenAI, and emerging platforms could bypass traditional OTA intermediaries by planning and booking trips directly with suppliers [2]. Trip.com's consumer-facing discovery and planning functions are particularly exposed to AI-powered travel tools that replicate itinerary creation and price comparison at zero marginal cost. However, Trip.com has meaningful defensive moats: massive bilateral supplier relationships built over 25 years, negotiated exclusive inventory and pricing, complex real-world fulfillment and customer service operations, and dominant regulated market position in China. The AI pricing controversy — which triggered a securities class action — demonstrates both the depth of AI integration and the governance risks of deploying AI aggressively in pricing algorithms [3]. AI Opportunity (1/1): TripGen AI chatbot is deployed and generating customer engagement with personalized recommendations. Internal AI tools deliver 15-30% coding efficiency gains across engineering. R&amp;D spending at 24% of revenue (RMB 15.1B) is heavily concentrated on AI-driven platform enhancement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Trip.com Group Q1 2026 Earnings Release — Revenue RMB 16.2B (+17% YoY), International Bookings +65%, Inbound Travel +90%, Corporate Travel +20%, Q2 Guidance 3-8% Growth, PRNewswire, June 2026</w:t>
      </w:r>
    </w:p>
    <w:p>
      <w:pPr>
        <w:spacing w:before="20" w:after="20"/>
        <w:ind w:left="170"/>
      </w:pPr>
      <w:r>
        <w:rPr>
          <w:rFonts w:ascii="Calibri" w:hAnsi="Calibri"/>
          <w:b/>
          <w:color w:val="4A6B25"/>
          <w:sz w:val="15"/>
        </w:rPr>
        <w:t xml:space="preserve">2. </w:t>
      </w:r>
      <w:r>
        <w:rPr>
          <w:rFonts w:ascii="Calibri" w:hAnsi="Calibri"/>
          <w:b w:val="0"/>
          <w:color w:val="3A4A28"/>
          <w:sz w:val="17"/>
        </w:rPr>
        <w:t>Trip.com Group AI Strategy and R&amp;D — RMB 15.1B R&amp;D (24% of Revenue), TripGen AI Chatbot, Gang Chen as CPO for AI, 15-30% Coding Efficiency Gains — ChinaTravelNews, Forbes Asia, PRNewswire, 2025-2026</w:t>
      </w:r>
    </w:p>
    <w:p>
      <w:pPr>
        <w:spacing w:before="20" w:after="20"/>
        <w:ind w:left="170"/>
      </w:pPr>
      <w:r>
        <w:rPr>
          <w:rFonts w:ascii="Calibri" w:hAnsi="Calibri"/>
          <w:b/>
          <w:color w:val="4A6B25"/>
          <w:sz w:val="15"/>
        </w:rPr>
        <w:t xml:space="preserve">3. </w:t>
      </w:r>
      <w:r>
        <w:rPr>
          <w:rFonts w:ascii="Calibri" w:hAnsi="Calibri"/>
          <w:b w:val="0"/>
          <w:color w:val="3A4A28"/>
          <w:sz w:val="17"/>
        </w:rPr>
        <w:t>SAMR Anti-Monopoly Investigation Resolution — RMB 1.66B ($244M) Confiscated, RMB 122M ($18M) Refund, Co-Founder Board Resignations, Securities Class Action — SEC 6-K Filing, Hagens Berman, PRNewswire, 2026</w:t>
      </w:r>
    </w:p>
    <w:p>
      <w:pPr>
        <w:spacing w:before="20" w:after="20"/>
        <w:ind w:left="170"/>
      </w:pPr>
      <w:r>
        <w:rPr>
          <w:rFonts w:ascii="Calibri" w:hAnsi="Calibri"/>
          <w:b/>
          <w:color w:val="4A6B25"/>
          <w:sz w:val="15"/>
        </w:rPr>
        <w:t xml:space="preserve">4. </w:t>
      </w:r>
      <w:r>
        <w:rPr>
          <w:rFonts w:ascii="Calibri" w:hAnsi="Calibri"/>
          <w:b w:val="0"/>
          <w:color w:val="3A4A28"/>
          <w:sz w:val="17"/>
        </w:rPr>
        <w:t>Trip.com Group ESG Reports and Sustainability — Carbon Neutrality by 2050, UN SDG Alignment, ESG Risk Committee — Corporate Website, PRNewswire, 2020-2025</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GuruFocus — TCOM Key Statistics: Forward P/E 12.30x, PEG 3.03, ROE 21.12%, D/E 18%, Profit Margin 48.65%, Stock Price $43.64,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