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TCPC</w:t>
      </w:r>
      <w:r>
        <w:rPr>
          <w:rFonts w:ascii="Calibri" w:hAnsi="Calibri"/>
          <w:b/>
          <w:color w:val="1A2010"/>
          <w:sz w:val="40"/>
        </w:rPr>
        <w:t xml:space="preserve">  BlackRock TCP Capital Corp.</w:t>
      </w:r>
    </w:p>
    <w:p>
      <w:pPr>
        <w:spacing w:after="120"/>
      </w:pPr>
      <w:r>
        <w:rPr>
          <w:rFonts w:ascii="Calibri" w:hAnsi="Calibri"/>
          <w:b/>
          <w:color w:val="6E8450"/>
          <w:sz w:val="18"/>
        </w:rPr>
        <w:t>DIVIDEND SLEEVE · 2026-09-24 · Inspire: 30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NASDAQ · United States</w:t>
      </w:r>
    </w:p>
    <w:p>
      <w:pPr>
        <w:spacing w:after="80"/>
      </w:pPr>
      <w:r>
        <w:rPr>
          <w:rFonts w:ascii="Calibri" w:hAnsi="Calibri"/>
          <w:b w:val="0"/>
          <w:color w:val="3A4A28"/>
          <w:sz w:val="20"/>
        </w:rPr>
        <w:t>BlackRock TCP Capital Corp. is an externally managed business development company (BDC) specializing in direct equity and debt investments in middle-market companies, primarily through senior secured loans, mezzanine debt, and junior capital across technology, healthcare, and business services sectors. Managed by BlackRock as part of its US Private Capital platform. CEO Jason Mehring was appointed in November 2024 following the departure of Rajneesh Vig; the company faces a class action lawsuit filed February 2026 alleging materially false statements. Q1 and Q2 2026 NII of $0.22/share each covered the reduced $0.17/quarter dividend. A $523M portfolio sale transaction was announced in Q2 2026 to reshape the investment portfolio. Market cap is approximately $339M.</w:t>
      </w:r>
    </w:p>
    <w:p>
      <w:r>
        <w:rPr>
          <w:rFonts w:ascii="Calibri" w:hAnsi="Calibri"/>
          <w:b/>
          <w:color w:val="6E8450"/>
          <w:sz w:val="18"/>
        </w:rPr>
        <w:t>https://www.tcpcapital.com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No meaningful product launches, pivots, or business model transformations — TCPC's BDC model of direct lending to middle-market companies has remained structurally unchanged. The 2024 leadership transition and subsequent CEO departure represent organizational disruption, not innovation [1]. AI Deployment (0/2): No AI-powered underwriting tools, credit analytics, or AI-driven portfolio management disclosed specific to TCPC. Parent BlackRock invests in AI (Aladdin platform), but TCPC itself shows no AI deployment with measurable results [2]. Market Share (1/2): TCPC is a meaningful participant in the middle-market BDC space within the BlackRock platform, providing access to institutional deal flow and risk management infrastructure, though it competes in a fragmented market with 100+ publicly traded BDCs and holds no dominant position [1]. Product Pipeline (1/2): The $523M portfolio sale transaction announced in Q2 2026 represents a significant portfolio reshaping initiative to strengthen the financial position and focus on higher-quality credits, providing visibility into strategic direction [1]. R&amp;D Intensity (0/1): BDCs do not invest in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TCPC's stated purpose is to provide flexible capital solutions to middle-market companies — a generic BDC mission interchangeable with dozens of peers, with no deeper vision of a better future beyond capital deployment and dividend distribution [1]. Community Impact (0/2): No evidence of corporate philanthropy, community investment, or charitable programs specific to TCPC. As an externally managed BDC with no reported employees, community engagement is structurally limited. Employee Retention (0/2): TCPC is externally managed by BlackRock with no reported employees. CEO Rajneesh Vig departed in 2024, followed by subsequent leadership changes — multiple senior departures signal organizational instability rather than retention strength [2]. Insider Buying (0/2): No evidence of meaningful insider buying. Leadership departures during portfolio stress and a federal investigation signal the opposite of insider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metrics. D/E of 165% is elevated but within BDC norms, scoring 0.59 against the 70% target and 300% floor [3]. ROE of -16.8% and profit margin of -61.3% reflect realized and unrealized portfolio losses driving $126M+ in net losses TTM [1]. Revenue declined -22.2% YoY, below the -20% floor. Forward P/E of 9.73x is the standout positive, well below the 20x target, scoring maximum — reflecting extreme cheapness or distress pricing. The dividend has been cut from $0.44/quarter (Q4 2024) to $0.17/quarter (Q2-Q3 2026), a 61% reduction — consecutive years of growth equals zero, and 5yr dividend growth CAGR is approximately -10% [3]. Despite cuts, TCPC has maintained continuous quarterly dividends for approximately 14 years, scoring maximum on consecutive years paid (2x weight). Payout ratio of 377.8% from GAAP income is unsustainable. Liquidity: 755K avg volume x $4.04 = $3.0M, above the $1M floor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TCPC is a deeply finite player operating as an externally managed income vehicle with no articulated Just Cause beyond capital deployment. The departure of CEO Rajneesh Vig in 2024, followed by further leadership changes, suggests organizational instability rather than enduring stewardship [2]. Repeated forced dividend cuts (61% reduction from Q4 2024 to present) and persistent NAV erosion reflect a company reacting to deteriorating circumstances rather than shaping its future. The class action lawsuit filed February 2026 alleging materially false statements further undermines institutional credibility.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TCPC's purpose is to provide capital to middle-market companies and generate income for shareholders — a functional description of any BDC, not a Just Cause in Sinek's framework [1]. There is no articulated vision of a better future or purpose that would inspire sacrifice. The company exists to fill a capital markets gap and generate quarterly distributions, which is useful but not transcendent. The externally managed structure further subordinates purpose to fee generation.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As an externally managed BDC, TCPC has no reported employees — the investment team works for BlackRock and the principal-agent conflict between BlackRock's management fee income and shareholder returns is a structural trust deficit. CEO Rajneesh Vig departed in 2024, followed by additional leadership changes, creating organizational discontinuity [2]. The class action lawsuit filed February 2026 alleging materially false statements about the fund's business and prospects further erodes trust between the company and its stakeholder base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acknowledging competitors' strengths or using competitive dynamics for self-improvement. Earnings calls and investor communications focus on portfolio metrics, NII coverage, and distribution stability rather than competitive positioning relative to higher-performing BDC peers like Ares Capital, Blue Owl Capital, or Main Street Capital. Competitive framing is absent from public communications.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TCPC evolved from independent TCP Capital (Tennenbaum Capital Partners) to integration into the BlackRock platform through the 2018 acquisition, representing strategic adaptation that provides access to the world's largest asset manager's resources, deal flow, and risk management [1]. The $523M portfolio sale in Q2 2026 demonstrates willingness to reshape the portfolio toward higher-quality senior capital structures [1]. However, these moves were driven by practical necessity and portfolio distress rather than purpose-driven transformation.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investment decisions. The 61% dividend cut from $0.44/quarter to $0.17/quarter was forced by deteriorating NII and portfolio losses, not a proactive strategic choice [1][3]. The $523M portfolio sale in Q2 2026 is a defensive measure to reduce exposure to troubled credits rather than an offensive investment in future capability. Multiple leadership departures during portfolio stress and the class action lawsuit represent leadership exit under pressure, not courage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TCPC offers a deeply discounted entry into the BlackRock private credit platform with an 18.77% current yield, making it a high-risk deep-value candidate if the portfolio stabilizes [3]. Q1 and Q2 2026 each showed NII of $0.22/share covering the $0.17 quarterly dividend at 129% NII coverage, suggesting the reduced distribution rate may be sustainable [1]. The $523M portfolio sale announced in Q2 2026 should accelerate the portfolio quality improvement and reduce exposure to stressed credits [1]. The BlackRock platform provides institutional-quality deal flow, risk management infrastructure, and scale advantages that smaller standalone BDCs lack. Forward P/E of 9.73x and PEG of 0.91 suggest attractive valuation if earnings stabilize. Inspire score of +30 (ALIGNED) with no negative attributions supports faith-based positioning.</w:t>
      </w:r>
    </w:p>
    <w:p>
      <w:pPr>
        <w:spacing w:after="120"/>
      </w:pPr>
      <w:r>
        <w:rPr>
          <w:rFonts w:ascii="Calibri" w:hAnsi="Calibri"/>
          <w:b w:val="0"/>
          <w:color w:val="3A4A28"/>
          <w:sz w:val="20"/>
        </w:rPr>
        <w:t>The bear case is severe and has multiple vectors. A class action lawsuit was filed in February 2026 alleging materially false and/or misleading statements about BlackRock TCP's business, operations, and prospects — adding legal liability on top of existing portfolio distress [2]. ROE of -16.8% and profit margin of -61.3% indicate the portfolio is destroying shareholder value, with D/E of 165% amplifying losses through leverage [3]. The dividend has been cut 61% from $0.44/quarter (Q4 2024) to $0.17/quarter, and further cuts are possible if credit losses accelerate or NII continues declining. Revenue declined 22.2% YoY as the investment portfolio generates less income on a shrinking base. The GAAP payout ratio of 377.8% is wildly unsustainable, and the gap between NII ($0.22/share) and GAAP EPS (-$1.27 trailing) reflects persistent unrealized losses that could crystalize. Approximately 30% of portfolio exposure to software companies creates indirect AI disruption risk to the credit book. The externally managed structure creates inherent conflicts between BlackRock's management fees and shareholder returns during portfolio stress.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The $523M portfolio sale in Q2 2026 should meaningfully improve portfolio quality, reduce exposure to troubled credits, and demonstrate management's ability to proactively reshape the investment book [1]</w:t>
      </w:r>
    </w:p>
    <w:p>
      <w:pPr>
        <w:spacing w:before="40" w:after="40"/>
        <w:ind w:left="283"/>
      </w:pPr>
      <w:r>
        <w:rPr>
          <w:rFonts w:ascii="Calibri" w:hAnsi="Calibri"/>
          <w:b/>
          <w:color w:val="4A6B25"/>
          <w:sz w:val="20"/>
        </w:rPr>
        <w:t xml:space="preserve">2. </w:t>
      </w:r>
      <w:r>
        <w:rPr>
          <w:rFonts w:ascii="Calibri" w:hAnsi="Calibri"/>
          <w:b w:val="0"/>
          <w:color w:val="3A4A28"/>
          <w:sz w:val="20"/>
        </w:rPr>
        <w:t>Sustained NII coverage of the $0.17/quarter dividend at 129%+ through Q1 and Q2 2026 suggests a stabilized distribution floor that could attract yield-seeking investors at the 18.77% current yield [1]</w:t>
      </w:r>
    </w:p>
    <w:p>
      <w:pPr>
        <w:spacing w:before="40" w:after="40"/>
        <w:ind w:left="283"/>
      </w:pPr>
      <w:r>
        <w:rPr>
          <w:rFonts w:ascii="Calibri" w:hAnsi="Calibri"/>
          <w:b/>
          <w:color w:val="4A6B25"/>
          <w:sz w:val="20"/>
        </w:rPr>
        <w:t xml:space="preserve">3. </w:t>
      </w:r>
      <w:r>
        <w:rPr>
          <w:rFonts w:ascii="Calibri" w:hAnsi="Calibri"/>
          <w:b w:val="0"/>
          <w:color w:val="3A4A28"/>
          <w:sz w:val="20"/>
        </w:rPr>
        <w:t>Resolution of the class action lawsuit without material penalties could restore investor confidence and narrow the significant discount to NAV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Class action lawsuit filed February 2026 alleging materially false statements could result in settlements, restatements, or additional NAV writedowns — compounding legal exposure and management distraction during a portfolio restructuring [2]</w:t>
      </w:r>
    </w:p>
    <w:p>
      <w:pPr>
        <w:spacing w:before="40" w:after="40"/>
        <w:ind w:left="283"/>
      </w:pPr>
      <w:r>
        <w:rPr>
          <w:rFonts w:ascii="Calibri" w:hAnsi="Calibri"/>
          <w:b/>
          <w:color w:val="4A6B25"/>
          <w:sz w:val="20"/>
        </w:rPr>
        <w:t xml:space="preserve">2. </w:t>
      </w:r>
      <w:r>
        <w:rPr>
          <w:rFonts w:ascii="Calibri" w:hAnsi="Calibri"/>
          <w:b w:val="0"/>
          <w:color w:val="3A4A28"/>
          <w:sz w:val="20"/>
        </w:rPr>
        <w:t>Further dividend cuts are probable if NII declines or credit losses accelerate — the 61% reduction from Q4 2024 to present may not be the bottom, and the 377.8% GAAP payout ratio signals structural unsustainability [3]</w:t>
      </w:r>
    </w:p>
    <w:p>
      <w:pPr>
        <w:spacing w:before="40" w:after="40"/>
        <w:ind w:left="283"/>
      </w:pPr>
      <w:r>
        <w:rPr>
          <w:rFonts w:ascii="Calibri" w:hAnsi="Calibri"/>
          <w:b/>
          <w:color w:val="4A6B25"/>
          <w:sz w:val="20"/>
        </w:rPr>
        <w:t xml:space="preserve">3. </w:t>
      </w:r>
      <w:r>
        <w:rPr>
          <w:rFonts w:ascii="Calibri" w:hAnsi="Calibri"/>
          <w:b w:val="0"/>
          <w:color w:val="3A4A28"/>
          <w:sz w:val="20"/>
        </w:rPr>
        <w:t>Externally managed BDC structure creates inherent principal-agent conflicts between BlackRock's management fee income and shareholder returns, particularly during portfolio stress when management incentives favor maintaining AUM rather than crystallizing losses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TCPC's core business of middle-market direct lending involves human-intensive credit underwriting, relationship-driven deal sourcing, and complex covenant negotiation that AI cannot easily replicate [1]. BDC lending requires bespoke judgment on distressed credits, sponsor relationships, and bilateral deal structures that are structurally protected from AI commoditization. The BlackRock platform provides institutional risk management capabilities that further insulate the underwriting process. However, approximately 30% of the portfolio is exposed to software and technology companies that may face AI disruption themselves, creating indirect portfolio risk [1]. AI-driven fintech lending platforms could also compress BDC lending spreads over time by democratizing credit analysis for less complex credits. AI Opportunity (0/1): TCPC generates no revenue from AI products or services — it is purely a financial intermediary investing in middle-market companies.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BlackRock TCP Capital Q1 and Q2 2026 Earnings Releases — NII $0.22/share Both Quarters, $523M Portfolio Sale Transaction, $0.17/Quarter Dividend, BusinessWire / NASDAQ, May-August 2026</w:t>
      </w:r>
    </w:p>
    <w:p>
      <w:pPr>
        <w:spacing w:before="20" w:after="20"/>
        <w:ind w:left="170"/>
      </w:pPr>
      <w:r>
        <w:rPr>
          <w:rFonts w:ascii="Calibri" w:hAnsi="Calibri"/>
          <w:b/>
          <w:color w:val="4A6B25"/>
          <w:sz w:val="15"/>
        </w:rPr>
        <w:t xml:space="preserve">2. </w:t>
      </w:r>
      <w:r>
        <w:rPr>
          <w:rFonts w:ascii="Calibri" w:hAnsi="Calibri"/>
          <w:b w:val="0"/>
          <w:color w:val="3A4A28"/>
          <w:sz w:val="17"/>
        </w:rPr>
        <w:t>BlackRock TCP Capital Leadership Transitions and Class Action — CEO Jason Mehring Appointment (Nov 2024), Rajneesh Vig Departure, Class Action Filed February 2026 (Rosen Law Firm) — BusinessWire, StreetInsider, Private Equity Wire, 2024-2026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TCPC Key Statistics: Stock Price $4.04, Forward P/E 9.73, PEG 0.91, D/E 165%, ROE -16.8%, Dividend Yield 18.77%, Avg Volume 755K,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