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TD</w:t>
      </w:r>
      <w:r>
        <w:rPr>
          <w:rFonts w:ascii="Calibri" w:hAnsi="Calibri"/>
          <w:b/>
          <w:color w:val="1A2010"/>
          <w:sz w:val="40"/>
        </w:rPr>
        <w:t xml:space="preserve">  The Toronto-Dominion Bank</w:t>
      </w:r>
    </w:p>
    <w:p>
      <w:pPr>
        <w:spacing w:after="120"/>
      </w:pPr>
      <w:r>
        <w:rPr>
          <w:rFonts w:ascii="Calibri" w:hAnsi="Calibri"/>
          <w:b/>
          <w:color w:val="6E8450"/>
          <w:sz w:val="18"/>
        </w:rPr>
        <w:t>DIVIDEND SLEEVE · 2026-09-09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Canada</w:t>
      </w:r>
    </w:p>
    <w:p>
      <w:pPr>
        <w:spacing w:after="80"/>
      </w:pPr>
      <w:r>
        <w:rPr>
          <w:rFonts w:ascii="Calibri" w:hAnsi="Calibri"/>
          <w:b w:val="0"/>
          <w:color w:val="3A4A28"/>
          <w:sz w:val="20"/>
        </w:rPr>
        <w:t>The Toronto-Dominion Bank is a top-10 North American bank by assets, operating through ~2,200 Canadian branches and 1,100+ U.S. retail locations, plus wealth management and wholesale banking divisions. TD posted record Q3 FY2026 quarterly earnings of CAD 4.7B and record EPS of CAD 2.77, with wholesale banking delivering 25% revenue growth and ROE of 16.7% [1]. The bank is executing a multiyear cultural and operational rebuild under CEO Raymond Chun (appointed 2025) following the historic $3.09B AML fine in October 2024, the largest BSA penalty in U.S. banking history [5]. TD targets $1B in annualized AI-driven value through 100+ deployed use cases and the proprietary TD AI Prism predictive model [4].</w:t>
      </w:r>
    </w:p>
    <w:p>
      <w:r>
        <w:rPr>
          <w:rFonts w:ascii="Calibri" w:hAnsi="Calibri"/>
          <w:b/>
          <w:color w:val="6E8450"/>
          <w:sz w:val="18"/>
        </w:rPr>
        <w:t>95,000 Employees · https://www.td.com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TD's Q3 FY2026 record earnings of CAD 4.7B demonstrate a strong operational franchise recovering from the AML crisis, but no transformative business model innovations have occurred — the bank remains a traditional retail/commercial/wholesale franchise [1]. The Layer 6 AI acquisition (2018) was forward-thinking but has not yet produced breakout products. AI Deployment (2/2): TD has deployed nearly 100 distinct AI use cases, launched the TD AI Prism predictive foundation model, rolled out GenAI virtual assistants to 40,000+ employees, and filed 150+ patents. CEO Chun targets $1B in annualized AI value ($500M cost savings + $500M revenue gains), and the TD AI Platform reduced time-to-market for certain capabilities by 85% [4]. This is among the most aggressive quantified AI programs in global banking. Market Share (1/2): TD is the 10th largest U.S. bank by assets and a Canadian Big Six bank, but the OCC-imposed U.S. asset cap following the AML settlement constrains growth in its most profitable geography [5]. Canadian market positions remain strong. Product Pipeline (1/2): CEO Chun's multiyear modernization plan includes AI-powered virtual assistants, loan auto-adjudication, data-driven card pre-approvals, and internal process automation, but these are efficiency improvements rather than new revenue-generating products [3]. R&amp;D Intensity (1/1): 150+ patents filed, dedicated AI R&amp;D center (Layer 6) with offices in Toronto and New York — above-average technology investment for a bank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Chun has articulated culture as 'probably the most important thing a CEO does,' built around three pillars — accountability, curiosity, and courage [3]. TD's historical 'Unexpectedly Human' brand positioning resonated with customers and employees, and Chun's candor about needing to rebuild culture after the AML scandal shows authentic self-awareness. However, the purpose remains operationally oriented (being a better bank) rather than articulating a transformative vision of a future state. Community Impact (1/2): TD's Ready Commitment pledged $1B+ in community giving, and Euromoney named TD Best Bank for Corporate Responsibility in North America (2023). However, the AML scandal — where 92% of transactions ($18.3T) went unmonitored, facilitating $670M+ in criminal money laundering — severely undermines community trust claims [5]. Employee Retention (1/2): TD's 95,000 employees operate in a stable organizational environment with orderly CEO transitions (Masrani to Chun). However, Chun's explicit statement that TD needs to 'revamp culture' and 'hold employees accountable' acknowledges existing cultural deficiencies [3]. Insider Buying (0/2): No evidence of meaningful net insider buying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core and dividend metrics. TD posted record Q3 FY2026 earnings with ROE of 16.7% for wholesale banking and overall TTM ROE of 17.82%, well above the 15% target, reflecting a strong recovery from AML-related charges [1][6]. Profit margin of 33.02% on $48.64B TTM revenue significantly exceeds the 20% target. Forward P/E of 14.81 scores at maximum (below 20x target). D/E of ~360% scores 0 due to the 300% floor — structurally inherent to banking where deposits are classified as liabilities, not indicative of financial distress. Revenue growth of ~7% YoY across segments (Canadian P&amp;C +5%, U.S. Retail +8-11%, Wholesale +25%) approaches the 10% target [1][2]. Dividend metrics are uniformly strong: 45% payout ratio (slightly above 40% target), 169 consecutive years of payments (since 1857), 13 consecutive years of growth, and 6.9% 5-year dividend CAGR well above the 6% target [6]. Daily liquidity of ~$369M (3M shares x $123.13) easily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TD Bank's infinite game profile is shaped by two opposing forces: a 169-year institutional legacy of continuous dividend payments and community banking that demonstrates genuine durability, and a recent $3.09B AML penalty that exposed years of finite-game cost-cutting where 92% of transaction volume went unmonitored [5]. New CEO Raymond Chun's cultural rebuild — emphasizing accountability, curiosity, and courage — shows awareness that the organization must evolve, and Q3 FY2026 record earnings of CAD 4.7B demonstrate that the franchise itself remains strong [1][3]. The question is whether Chun's rebuild produces lasting cultural change or proves to be compliance-driven window dressing.</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CEO Chun states that culture is 'probably the most important thing a CEO does' and has built his leadership around accountability, curiosity, and courage — operational values that are necessary but do not constitute a Just Cause as Sinek defines it [3]. TD's 169-year history of continuous dividend payments and community banking suggests an implicit purpose of serving as a durable financial institution, but this was never articulated as a cause, and the AML scandal proved the organization prioritized cost minimization over its fundamental duty to prevent financial crime [5]. Chun's language about 'getting back to winning' remains finite in orientation.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TD's 95,000 employees operate in a generally stable environment with orderly leadership transitions and competitive compensation for a large bank. However, the AML scandal revealed that five TD employees directly assisted criminal money laundering networks, and the 'flat cost paradigm' imposed by prior leadership pressured compliance staff to do more with less, creating a culture where speaking up about inadequate monitoring was systemically discouraged [5]. Chun's explicit acknowledgment that TD needs cultural renewal is honest but confirms the current trust deficit. The orderly transition and Q3 record results suggest the broader organization remains functional and engaged [1][3].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CEO Chun's emphasis on 'curiosity' as a core value and his candid acknowledgment that 'we've lost a little bit of that over the years' reflects willingness to recognize organizational weaknesses relative to peers like RBC and JPMorgan [3]. The decision to target $1B in AI value was partly driven by recognizing that competitors were adopting AI faster. TD's competitive approach focuses on self-improvement and catching up to industry leaders rather than predatory market tactics.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TD evolved from a Canadian domestic bank to a major cross-border North American franchise through strategic acquisitions (Banknorth, Commerce Bank), and the Layer 6 AI acquisition (2018) showed early willingness to embrace technological transformation [4]. Chun's multiyear modernization plan represents a genuine pivot toward AI-native banking operations. However, these are incremental strategic extensions — TD remains a traditional retail/commercial bank and has not fundamentally reinvented its business model. The AML-imposed U.S. asset cap may force existential decisions about the U.S. strategy [5].</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Chun has shown initial courage by publicly acknowledging TD's cultural failures, committing to a multiyear rebuild, and targeting $1B in AI investment despite uncertain near-term returns [3][4]. The transparency about past failures — rather than minimizing the AML scandal — demonstrates willingness to absorb short-term reputational pain for long-term institutional integrity. However, the AML scandal itself represents a systemic absence of courage under prior leadership: the organization deliberately chose cost savings over compliance integrity for years, avoiding the right decision because it was expensive [5]. Chun has not yet made a costly, bet-the-company strategic decision that fully tests his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TD Bank at 14.81x forward earnings is a recovering North American banking franchise posting record results — Q3 FY2026 earnings of CAD 4.7B and EPS of CAD 2.77 were all-time highs, driven by wholesale banking revenue growth of 25% and overall ROE recovery to 16.7% [1]. The stock's 74.85% appreciation over the past 52 weeks reflects the market's growing confidence that the AML remediation is on track, and the 2.59% dividend yield backed by 169 consecutive years of payments and 13 years of growth provides income reliability unmatched in North American banking [6]. CEO Chun's $1B AI value target and 100+ deployed use cases position TD as a technology leader among global banks, with quantified cost savings and revenue gains that should expand margins as they scale [4]. Profit margin of 33.02% and ROE of 17.82% demonstrate that the franchise's fundamental earning power has recovered from the AML drag.</w:t>
      </w:r>
    </w:p>
    <w:p>
      <w:pPr>
        <w:spacing w:after="120"/>
      </w:pPr>
      <w:r>
        <w:rPr>
          <w:rFonts w:ascii="Calibri" w:hAnsi="Calibri"/>
          <w:b w:val="0"/>
          <w:color w:val="3A4A28"/>
          <w:sz w:val="20"/>
        </w:rPr>
        <w:t>The bear case centers on the AML overhang and structural constraints. The OCC-imposed U.S. asset cap — a consequence of the $3.09B fine — constrains growth in TD's most profitable geography, and the four-year monitorship (through 2028) creates ongoing operational overhead and regulatory scrutiny [5]. While Q3 was a record, the forward P/E of 14.81x exceeds the trailing P/E of 13.49x, suggesting analysts expect some earnings normalization from the Q3 peak. D/E of ~360% (standard for banking but mechanically penalized in the IOWN framework) weighs on the quantitative infrastructure score. The cultural rebuild under Chun is in early stages — the systemic failures that allowed 92% of transactions ($18.3T) to go unmonitored required years of institutional neglect and will require years of sustained effort to fully remediate [5]. Canadian housing market correction risk would pressure TD's large domestic mortgage portfolio.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Post-AML remediation progress: successful completion of monitorship requirements could lead to lifting the U.S. asset cap, unlocking growth in TD's 1,100+ branch American retail franchise and enabling strategic M&amp;A [5]</w:t>
      </w:r>
    </w:p>
    <w:p>
      <w:pPr>
        <w:spacing w:before="40" w:after="40"/>
        <w:ind w:left="283"/>
      </w:pPr>
      <w:r>
        <w:rPr>
          <w:rFonts w:ascii="Calibri" w:hAnsi="Calibri"/>
          <w:b/>
          <w:color w:val="4A6B25"/>
          <w:sz w:val="20"/>
        </w:rPr>
        <w:t xml:space="preserve">2. </w:t>
      </w:r>
      <w:r>
        <w:rPr>
          <w:rFonts w:ascii="Calibri" w:hAnsi="Calibri"/>
          <w:b w:val="0"/>
          <w:color w:val="3A4A28"/>
          <w:sz w:val="20"/>
        </w:rPr>
        <w:t>AI-driven efficiency gains from the $1B annualized value target (100+ use cases, TD AI Prism model) scaling across 95,000 employees, with tangible cost savings and revenue enhancement improving operating leverage [4]</w:t>
      </w:r>
    </w:p>
    <w:p>
      <w:pPr>
        <w:spacing w:before="40" w:after="40"/>
        <w:ind w:left="283"/>
      </w:pPr>
      <w:r>
        <w:rPr>
          <w:rFonts w:ascii="Calibri" w:hAnsi="Calibri"/>
          <w:b/>
          <w:color w:val="4A6B25"/>
          <w:sz w:val="20"/>
        </w:rPr>
        <w:t xml:space="preserve">3. </w:t>
      </w:r>
      <w:r>
        <w:rPr>
          <w:rFonts w:ascii="Calibri" w:hAnsi="Calibri"/>
          <w:b w:val="0"/>
          <w:color w:val="3A4A28"/>
          <w:sz w:val="20"/>
        </w:rPr>
        <w:t>Canadian rate cycle normalization improving net interest margins across TD's dominant domestic deposit franchise, with ROE trajectory already at 17.82% and room to exceed 18%+ as AML costs wind down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U.S. asset cap from OCC consent order constraining growth in TD's most profitable geography — failure to meet monitorship milestones could extend restrictions beyond 2028 and force strategic retreat from U.S. retail [5]</w:t>
      </w:r>
    </w:p>
    <w:p>
      <w:pPr>
        <w:spacing w:before="40" w:after="40"/>
        <w:ind w:left="283"/>
      </w:pPr>
      <w:r>
        <w:rPr>
          <w:rFonts w:ascii="Calibri" w:hAnsi="Calibri"/>
          <w:b/>
          <w:color w:val="4A6B25"/>
          <w:sz w:val="20"/>
        </w:rPr>
        <w:t xml:space="preserve">2. </w:t>
      </w:r>
      <w:r>
        <w:rPr>
          <w:rFonts w:ascii="Calibri" w:hAnsi="Calibri"/>
          <w:b w:val="0"/>
          <w:color w:val="3A4A28"/>
          <w:sz w:val="20"/>
        </w:rPr>
        <w:t>Cultural rebuild under CEO Chun is early-stage and uncertain — systemic governance failures that enabled the AML scandal took years to develop and will require sustained execution to remediate, with no guarantee of lasting change [3]</w:t>
      </w:r>
    </w:p>
    <w:p>
      <w:pPr>
        <w:spacing w:before="40" w:after="40"/>
        <w:ind w:left="283"/>
      </w:pPr>
      <w:r>
        <w:rPr>
          <w:rFonts w:ascii="Calibri" w:hAnsi="Calibri"/>
          <w:b/>
          <w:color w:val="4A6B25"/>
          <w:sz w:val="20"/>
        </w:rPr>
        <w:t xml:space="preserve">3. </w:t>
      </w:r>
      <w:r>
        <w:rPr>
          <w:rFonts w:ascii="Calibri" w:hAnsi="Calibri"/>
          <w:b w:val="0"/>
          <w:color w:val="3A4A28"/>
          <w:sz w:val="20"/>
        </w:rPr>
        <w:t>Canadian housing market correction or recession would pressure TD's substantial domestic mortgage portfolio and consumer credit quality, potentially reversing the ROE recovery from 17.82%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Banking has meaningful defensive moats against AI disruption — regulatory requirements (banking licenses, deposit insurance, capital adequacy), $1.8T+ in assets creating trust barriers, and compliance complexity that AI startups cannot easily navigate [1]. However, AI is actively automating banking functions: customer service chatbots, automated underwriting, fraud detection, and back-office processing. Fintech challengers using AI-native architectures pose competitive pressure on TD's branch-intensive model (3,300+ locations). Ironically, the AML scandal highlighted how AI-powered compliance monitoring could have prevented the $3B fine — TD's failure to deploy adequate transaction monitoring technology was the root cause [5]. AI Opportunity (1/1): TD generates quantifiable AI value — the $1B annualized target ($500M cost savings + $500M revenue), 100+ deployed use cases, TD AI Prism foundation model, and 150+ patents represent one of the most concrete AI monetization programs in global banking [4]. Q3 results show AI-driven efficiency gains contributing to record profitability.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TD Bank Q3 FY2026 Earnings — Record quarterly earnings CAD 4.7B, record EPS CAD 2.77, wholesale banking revenue +25%, ROE 16.7%, August 2026</w:t>
      </w:r>
    </w:p>
    <w:p>
      <w:pPr>
        <w:spacing w:before="20" w:after="20"/>
        <w:ind w:left="170"/>
      </w:pPr>
      <w:r>
        <w:rPr>
          <w:rFonts w:ascii="Calibri" w:hAnsi="Calibri"/>
          <w:b/>
          <w:color w:val="4A6B25"/>
          <w:sz w:val="15"/>
        </w:rPr>
        <w:t xml:space="preserve">2. </w:t>
      </w:r>
      <w:r>
        <w:rPr>
          <w:rFonts w:ascii="Calibri" w:hAnsi="Calibri"/>
          <w:b w:val="0"/>
          <w:color w:val="3A4A28"/>
          <w:sz w:val="17"/>
        </w:rPr>
        <w:t>TD Bank Q1 FY2026 Earnings — Revenue $5,421M (+5% YoY), reported earnings $4.0B (+45%), adjusted earnings +16%, February 2026</w:t>
      </w:r>
    </w:p>
    <w:p>
      <w:pPr>
        <w:spacing w:before="20" w:after="20"/>
        <w:ind w:left="170"/>
      </w:pPr>
      <w:r>
        <w:rPr>
          <w:rFonts w:ascii="Calibri" w:hAnsi="Calibri"/>
          <w:b/>
          <w:color w:val="4A6B25"/>
          <w:sz w:val="15"/>
        </w:rPr>
        <w:t xml:space="preserve">3. </w:t>
      </w:r>
      <w:r>
        <w:rPr>
          <w:rFonts w:ascii="Calibri" w:hAnsi="Calibri"/>
          <w:b w:val="0"/>
          <w:color w:val="3A4A28"/>
          <w:sz w:val="17"/>
        </w:rPr>
        <w:t>TD CEO Ray Chun Strategy — Multiyear cultural rebuild, accountability/curiosity/courage pillars, culture as 'most important' CEO role, Globe and Mail/TD Investor Day, 2025-2026</w:t>
      </w:r>
    </w:p>
    <w:p>
      <w:pPr>
        <w:spacing w:before="20" w:after="20"/>
        <w:ind w:left="170"/>
      </w:pPr>
      <w:r>
        <w:rPr>
          <w:rFonts w:ascii="Calibri" w:hAnsi="Calibri"/>
          <w:b/>
          <w:color w:val="4A6B25"/>
          <w:sz w:val="15"/>
        </w:rPr>
        <w:t xml:space="preserve">4. </w:t>
      </w:r>
      <w:r>
        <w:rPr>
          <w:rFonts w:ascii="Calibri" w:hAnsi="Calibri"/>
          <w:b w:val="0"/>
          <w:color w:val="3A4A28"/>
          <w:sz w:val="17"/>
        </w:rPr>
        <w:t>TD Bank AI Innovation — $1B AI value target, 100+ use cases, TD AI Prism model, 150+ patents, 40,000+ employees using GenAI tools, Financial Brand/BriefGlance, 2026</w:t>
      </w:r>
    </w:p>
    <w:p>
      <w:pPr>
        <w:spacing w:before="20" w:after="20"/>
        <w:ind w:left="170"/>
      </w:pPr>
      <w:r>
        <w:rPr>
          <w:rFonts w:ascii="Calibri" w:hAnsi="Calibri"/>
          <w:b/>
          <w:color w:val="4A6B25"/>
          <w:sz w:val="15"/>
        </w:rPr>
        <w:t xml:space="preserve">5. </w:t>
      </w:r>
      <w:r>
        <w:rPr>
          <w:rFonts w:ascii="Calibri" w:hAnsi="Calibri"/>
          <w:b w:val="0"/>
          <w:color w:val="3A4A28"/>
          <w:sz w:val="17"/>
        </w:rPr>
        <w:t>TD Bank AML/BSA Penalties — $3.09B fine, 92% of transactions ($18.3T) unmonitored 2018-2024, DOJ guilty plea, OCC asset cap, FinCEN, October 2024</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GuruFocus — TD Key Statistics: Forward P/E 14.81x, ROE 17.82%, Profit Margin 33.02%, Dividend Yield 2.59%,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