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TECH</w:t>
      </w:r>
      <w:r>
        <w:rPr>
          <w:rFonts w:ascii="Calibri" w:hAnsi="Calibri"/>
          <w:b/>
          <w:color w:val="1A2010"/>
          <w:sz w:val="40"/>
        </w:rPr>
        <w:t xml:space="preserve">  Bio-Techne Corporation</w:t>
      </w:r>
    </w:p>
    <w:p>
      <w:pPr>
        <w:spacing w:after="120"/>
      </w:pPr>
      <w:r>
        <w:rPr>
          <w:rFonts w:ascii="Calibri" w:hAnsi="Calibri"/>
          <w:b/>
          <w:color w:val="6E8450"/>
          <w:sz w:val="18"/>
        </w:rPr>
        <w:t>GROWTH SLEEVE · 2026-09-09 · Inspire: -81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Life Sciences Tools &amp; Services · NASDAQ · United States</w:t>
      </w:r>
    </w:p>
    <w:p>
      <w:pPr>
        <w:spacing w:after="80"/>
      </w:pPr>
      <w:r>
        <w:rPr>
          <w:rFonts w:ascii="Calibri" w:hAnsi="Calibri"/>
          <w:b w:val="0"/>
          <w:color w:val="3A4A28"/>
          <w:sz w:val="20"/>
        </w:rPr>
        <w:t>Bio-Techne develops, manufactures, and sells life science reagents, instruments, and services for research, diagnostics, and bioprocessing markets worldwide. The company operates through Protein Sciences (high-quality proteins, antibodies, immunoassays) and Diagnostics and Spatial Biology (spatial biology instruments, diagnostic controls) segments. Key brands include R&amp;D Systems, Novus Biologicals, Tocris Bioscience, and Advanced Cell Diagnostics. FY2026 revenue was $1.22B with GAAP EPS of $1.17 and adjusted operating margin of 32.2% [1]. On June 25, 2026, Merck KGaA agreed to acquire Bio-Techne for $73/share in cash (~$11.3B enterprise value), with closing expected late 2026 or early 2027 pending regulatory and shareholder approval [4]. Headquartered in Minneapolis, Minnesota.</w:t>
      </w:r>
    </w:p>
    <w:p>
      <w:r>
        <w:rPr>
          <w:rFonts w:ascii="Calibri" w:hAnsi="Calibri"/>
          <w:b/>
          <w:color w:val="6E8450"/>
          <w:sz w:val="18"/>
        </w:rPr>
        <w:t>3,100 Employees · https://www.bio-techne.com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Bio-Techne has expanded meaningfully beyond its legacy protein/cytokine business through strategic acquisitions in spatial biology (ACD/RNAscope, Lunaphore), proteomic instruments, and GMP proteins for cell and gene therapy manufacturing [1]. The diversification from a single-product reagent company to a multi-platform life sciences tools provider represents genuine business evolution. Merck KGaA's $11.3B acquisition validates this platform value [4]. AI Deployment (1/2): Bio-Techne launched an expanded R&amp;D Systems AI-Engineered Designer Protein portfolio in 2026, using AI to engineer proteins with improved reproducibility and performance for cell culture and cell therapy development — a genuine AI-powered product offering, though revenue attribution is not yet quantified [5]. Market Share (1/2): R&amp;D Systems is the gold standard in recombinant proteins and cytokines, and spatial biology is a growing franchise. However, Bio-Techne competes against much larger tools players (Danaher, Thermo Fisher, Agilent) and lacks overall market share dominance — hence the strategic logic of Merck KGaA's acquisition [1]. Product Pipeline (1/2): Q4 FY2026 showed organic revenue growth of 3%, with GMP proteins growing nearly 50% (excluding fast-track) and spatial biology delivering mid-teens growth [1][2]. AI-Engineered Designer Proteins expand the addressable market. R&amp;D Intensity (1/1): Significant R&amp;D investment relative to peers; adjusted gross margin of 70.4% demonstrates deep technology differentiation in the reagent franchise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Bio-Techne's EPIC values (Empowerment, Passion, Innovation, Collaboration) and mission to advance scientific research and improve healthcare outcomes are clear and connect the company's work to meaningful science [5]. However, the mission is functionally indistinguishable from competitors' statements (Danaher, Thermo Fisher, Agilent all articulate comparable missions), and the board's decision to accept Merck KGaA's acquisition offer suggests the purpose did not provide sufficient strategic anchor to remain independent [4]. Community Impact (1/2): Bio-Techne committed to submitting Scope 1, 2, and 3 GHG reduction targets to SBTi for validation, and eliminated ~70,000 lbs of plastic annually through packaging transitions [5]. Standard ESG commitments for a life sciences company, but no standout community programs. Employee Retention (0/2): Recent leadership instability — CEO change (Kim Kelderman, February 2024), segment leadership changes (February 2026), and now the Merck KGaA acquisition creating workforce uncertainty for 3,100 employees. No specific retention metrics published. Insider Buying (0/2): No evidence of insider buying; Ananym Capital activist stake pushed for strategic review leading to the sale, signaling external dissatisfaction with standalone trajectory.</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 metrics. Bio-Techne's fortress balance sheet — D/E of just 14%, with $264.71M cash against $289.09M debt — scores maximum on leverage, reflecting a conservatively financed business [3]. Q4 FY2026 showed organic revenue recovery to +3%, with adjusted operating margin improving to 32.2% [2]. However, GAAP profitability is compressed by acquisition-related amortization: ROE of 9.03% (well below the 15% target) and profit margin of 14.97% (below 20% target) drag the score [3]. Forward P/E of 35.31 is expensive at the $73 acquisition price, and the estimated PEG ratio of ~7.5 scores 0 with 2x weight — the dominant quantitative drag [3]. Revenue growth YoY of +1% (reported) reflects a recovery from mid-year declines but remains far below the 10% target. The 5-year revenue CAGR of ~7% partially compensates. Daily liquidity of ~$65M (900K shares x $72) easily clears the $1M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Bio-Techne's infinite game profile is shaped by the tension between a genuine scientific purpose — enabling discoveries that improve human health — and the decision to sell the company to Merck KGaA for $73/share rather than pursue independent long-term growth [4]. The evolution from Techne Corporation (a single-product protein company) to a diversified life sciences tools platform spanning spatial biology, GMP proteins, and AI-engineered reagents demonstrates meaningful strategic vision over the past decade. However, accepting the Merck acquisition under activist pressure from Ananym Capital suggests the board ultimately prioritized shareholder returns over institutional independence, a finite-game outcome that may nonetheless serve the scientific purpose better within Merck's larger platform.</w:t>
      </w:r>
    </w:p>
    <w:p>
      <w:pPr>
        <w:spacing w:before="200" w:after="40"/>
      </w:pPr>
      <w:r>
        <w:rPr>
          <w:rFonts w:ascii="Calibri" w:hAnsi="Calibri"/>
          <w:b/>
          <w:color w:val="1A2010"/>
          <w:sz w:val="22"/>
        </w:rPr>
        <w:t>Just Cause</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Bio-Techne exists to empower scientific discovery and advance healthcare — a genuine purpose reflected in products that directly enable cancer research, cell therapy development, diagnostic testing, and fundamental biological understanding [5]. The EPIC values (Empowerment, Passion, Innovation, Collaboration) are well-articulated and connect to strategic decisions like investing in spatial biology and AI-engineered proteins. However, the board's acceptance of the Merck KGaA acquisition at $73/share suggests the purpose was not a sufficient anchor to maintain independence, and the company is relatively young in its current form (rebranded from Techne Corporation in 2014) [4]. The cause has not been tested through multi-decade validation.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Bio-Techne's 3,100 employees operate in a knowledge-intensive environment where scientific expertise is critical, and the company's EPIC values emphasize empowerment and collaboration [5]. However, leadership instability — CEO change to Kim Kelderman (February 2024), segment leadership changes (February 2026), and the Merck KGaA acquisition announcement (June 2026) — creates significant organizational uncertainty. Employees face potential restructuring, role changes, or layoffs under Merck ownership. No specific trust metrics (tenure, engagement scores) are publicly available.</w:t>
      </w:r>
    </w:p>
    <w:p>
      <w:pPr>
        <w:spacing w:before="200" w:after="40"/>
      </w:pPr>
      <w:r>
        <w:rPr>
          <w:rFonts w:ascii="Calibri" w:hAnsi="Calibri"/>
          <w:b/>
          <w:color w:val="1A2010"/>
          <w:sz w:val="22"/>
        </w:rPr>
        <w:t>Worthy Rivals</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The decision to sell to Merck KGaA — one of Bio-Techne's direct competitors in the life sciences tools space — represents an implicit acknowledgment that the company could not compete effectively at scale independently [4]. This could be interpreted as competitive self-awareness (recognizing Merck's scale advantages) or competitive surrender. No evidence was found of Bio-Techne leadership articulating what they learn from competitors or using competitive dynamics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Bio-Techne evolved meaningfully from a single-product protein company (Techne Corporation) to a diversified platform spanning spatial biology, proteomic analysis, GMP manufacturing, and diagnostics through organic investment and acquisitions [1]. The 2014 rebrand symbolized this evolution, and entry into AI-engineered proteins shows willingness to embrace frontier technology. However, the decision to sell to Merck KGaA rather than continue independent transformation suggests the flexibility had limits — the company chose integration into a larger platform over further reinvention [4].</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Bio-Techne invested in emerging platforms (spatial biology, GMP proteins, AI-engineered proteins) that compressed near-term margins in service of long-term positioning — genuine courage in capital allocation [1]. However, when activist pressure from Ananym Capital intensified, the board chose the safer path of selling to Merck KGaA at $73/share rather than defending the long-term independent vision. Courage to lead in Sinek's framework means absorbing short-term pain for the cause; accepting an acquisition premium under activist pressure is the opposite of that impulse, even if it was financially rational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Bio-Techne's investment thesis is now dominated by the pending Merck KGaA acquisition at $73/share in cash (~$11.3B enterprise value), announced June 25, 2026, with closing expected late 2026 or early 2027 [4]. At a current trading price of ~$72, the remaining upside is ~1.4% to the deal price, making this effectively a merger arbitrage position rather than a fundamental equity investment. The underlying franchise is high-quality: a fortress balance sheet (14% D/E), leading positions in proteins/reagents (R&amp;D Systems gold standard), spatial biology, and GMP proteins for cell therapy, with adjusted operating margin of 32.2% and 70.4% gross margin [1][2][3]. Q4 FY2026 showed organic revenue recovery to +3%, and the AI-Engineered Designer Protein launch positions the portfolio at the intersection of AI and biologics [2]. Merck KGaA's willingness to pay $11.3B validates the platform's strategic value.</w:t>
      </w:r>
    </w:p>
    <w:p>
      <w:pPr>
        <w:spacing w:after="120"/>
      </w:pPr>
      <w:r>
        <w:rPr>
          <w:rFonts w:ascii="Calibri" w:hAnsi="Calibri"/>
          <w:b w:val="0"/>
          <w:color w:val="3A4A28"/>
          <w:sz w:val="20"/>
        </w:rPr>
        <w:t>The bear case is deal risk and unfavorable standalone fundamentals. Regulatory approval for the Merck KGaA acquisition is not guaranteed — antitrust review in the U.S. and EU could delay or block the deal, leaving shareholders with a stock that traded at $55-60 before activist intervention [4]. On standalone metrics, GAAP profitability remains compressed: ROE of 9.03% and profit margin of 14.97% are well below life sciences peers, reflecting acquisition-related amortization from the growth-by-acquisition strategy [3]. Forward P/E of 35.31x and PEG of ~7.5x indicate extreme overvaluation relative to organic growth of just 1-3%, leaving no margin of safety if the deal falls through. Revenue growth has been anemic — FY2026 full-year revenue of $1.22B was essentially flat, and the 5-year CAGR of ~7% reflects acquired rather than organic growth [1][2]. The Inspire Impact Score of -81 (MISALIGNED) from abortifacient and embryonic stem cell exposure limits the faith-based investor universe. If the acquisition closes, fundamental analysis becomes moot; if it fails, the stock faces significant downside to pre-deal levels.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Merck KGaA acquisition closing at $73/share (expected late 2026/early 2027) would deliver remaining ~1.4% spread from current levels and remove standalone execution risk entirely [4]</w:t>
      </w:r>
    </w:p>
    <w:p>
      <w:pPr>
        <w:spacing w:before="40" w:after="40"/>
        <w:ind w:left="283"/>
      </w:pPr>
      <w:r>
        <w:rPr>
          <w:rFonts w:ascii="Calibri" w:hAnsi="Calibri"/>
          <w:b/>
          <w:color w:val="4A6B25"/>
          <w:sz w:val="20"/>
        </w:rPr>
        <w:t xml:space="preserve">2. </w:t>
      </w:r>
      <w:r>
        <w:rPr>
          <w:rFonts w:ascii="Calibri" w:hAnsi="Calibri"/>
          <w:b w:val="0"/>
          <w:color w:val="3A4A28"/>
          <w:sz w:val="20"/>
        </w:rPr>
        <w:t>GMP proteins growing nearly 50% (excluding fast-track customers) as cell and gene therapy manufacturing scales, demonstrating the underlying platform value that attracted Merck's $11.3B bid [1]</w:t>
      </w:r>
    </w:p>
    <w:p>
      <w:pPr>
        <w:spacing w:before="40" w:after="40"/>
        <w:ind w:left="283"/>
      </w:pPr>
      <w:r>
        <w:rPr>
          <w:rFonts w:ascii="Calibri" w:hAnsi="Calibri"/>
          <w:b/>
          <w:color w:val="4A6B25"/>
          <w:sz w:val="20"/>
        </w:rPr>
        <w:t xml:space="preserve">3. </w:t>
      </w:r>
      <w:r>
        <w:rPr>
          <w:rFonts w:ascii="Calibri" w:hAnsi="Calibri"/>
          <w:b w:val="0"/>
          <w:color w:val="3A4A28"/>
          <w:sz w:val="20"/>
        </w:rPr>
        <w:t>AI-Engineered Designer Protein portfolio expanding the addressable market for high-performance signaling molecules, with potential to accelerate under Merck KGaA's larger R&amp;D and commercial infrastructure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Regulatory risk on Merck KGaA acquisition — antitrust review in U.S. and EU could delay or block the deal, exposing shareholders to significant downside to pre-deal trading levels of $55-60 [4]</w:t>
      </w:r>
    </w:p>
    <w:p>
      <w:pPr>
        <w:spacing w:before="40" w:after="40"/>
        <w:ind w:left="283"/>
      </w:pPr>
      <w:r>
        <w:rPr>
          <w:rFonts w:ascii="Calibri" w:hAnsi="Calibri"/>
          <w:b/>
          <w:color w:val="4A6B25"/>
          <w:sz w:val="20"/>
        </w:rPr>
        <w:t xml:space="preserve">2. </w:t>
      </w:r>
      <w:r>
        <w:rPr>
          <w:rFonts w:ascii="Calibri" w:hAnsi="Calibri"/>
          <w:b w:val="0"/>
          <w:color w:val="3A4A28"/>
          <w:sz w:val="20"/>
        </w:rPr>
        <w:t>Standalone fundamentals are weak: GAAP ROE of 9.03%, profit margin of 14.97%, and flat revenue growth cannot support the $73 valuation without the acquisition premium, creating asymmetric downside risk [3]</w:t>
      </w:r>
    </w:p>
    <w:p>
      <w:pPr>
        <w:spacing w:before="40" w:after="40"/>
        <w:ind w:left="283"/>
      </w:pPr>
      <w:r>
        <w:rPr>
          <w:rFonts w:ascii="Calibri" w:hAnsi="Calibri"/>
          <w:b/>
          <w:color w:val="4A6B25"/>
          <w:sz w:val="20"/>
        </w:rPr>
        <w:t xml:space="preserve">3. </w:t>
      </w:r>
      <w:r>
        <w:rPr>
          <w:rFonts w:ascii="Calibri" w:hAnsi="Calibri"/>
          <w:b w:val="0"/>
          <w:color w:val="3A4A28"/>
          <w:sz w:val="20"/>
        </w:rPr>
        <w:t>Emerging biotech funding drought continues constraining a major customer segment, and NIH funding uncertainty creates additional headwinds for academic/government research demand for reagents and instruments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Bio-Techne's core business — manufacturing physical proteins, antibodies, reagents, and instruments for laboratory research — is structurally protected from AI disruption [1]. Scientists conducting bench research require actual physical proteins and cytokines to perform experiments; AI cannot virtualize wet-lab reagents. Counterintuitively, AI increases demand for Bio-Techne's products: AI-designed protein candidates and drug molecules require physical validation with real reagents, and large pharma's AI-powered drug discovery pipelines correlate with increased tools demand (six consecutive quarters of double-digit growth from large pharma). The R&amp;D Systems brand serves as gold-standard reference material that AI models rely on for training data quality. However, AI-driven in-silico screening could eventually reduce the volume of wet-lab experiments needed for drug discovery, representing a longer-term paradigm risk. AI Opportunity (1/1): Bio-Techne's AI-Engineered Designer Protein portfolio uses artificial intelligence to design proteins with improved reproducibility and performance for cell therapy applications — a genuine AI-powered product innovation being commercialized, creating a quantifiable AI revenue stream [5]. The Merck KGaA acquisition also positions these AI capabilities within a larger platform for scaling.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-81</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Abortifacients </w:t>
      </w:r>
      <w:r>
        <w:rPr>
          <w:rFonts w:ascii="Calibri" w:hAnsi="Calibri"/>
          <w:b w:val="0"/>
          <w:color w:val="9DAF88"/>
          <w:sz w:val="17"/>
        </w:rPr>
        <w:t xml:space="preserve">  ·  </w:t>
      </w:r>
      <w:r>
        <w:rPr>
          <w:rFonts w:ascii="Calibri" w:hAnsi="Calibri"/>
          <w:b/>
          <w:color w:val="DC2626"/>
          <w:sz w:val="17"/>
        </w:rPr>
        <w:t xml:space="preserve"> Embryonic Stem Cells </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Bio-Techne Q3 FY2026 Earnings — Revenue $311.4M (-2% YoY), adjusted EPS $0.53, adjusted gross margin 70.4%, SEC 8-K, Investing.com, May 2026</w:t>
      </w:r>
    </w:p>
    <w:p>
      <w:pPr>
        <w:spacing w:before="20" w:after="20"/>
        <w:ind w:left="170"/>
      </w:pPr>
      <w:r>
        <w:rPr>
          <w:rFonts w:ascii="Calibri" w:hAnsi="Calibri"/>
          <w:b/>
          <w:color w:val="4A6B25"/>
          <w:sz w:val="15"/>
        </w:rPr>
        <w:t xml:space="preserve">2. </w:t>
      </w:r>
      <w:r>
        <w:rPr>
          <w:rFonts w:ascii="Calibri" w:hAnsi="Calibri"/>
          <w:b w:val="0"/>
          <w:color w:val="3A4A28"/>
          <w:sz w:val="17"/>
        </w:rPr>
        <w:t>Bio-Techne Q4 FY2026 Earnings — Revenue $321.2M (+1% reported, +3% organic), adjusted EPS $0.52, adjusted operating margin 32.2%, TradingKey/Investing.com, August 2026</w:t>
      </w:r>
    </w:p>
    <w:p>
      <w:pPr>
        <w:spacing w:before="20" w:after="20"/>
        <w:ind w:left="170"/>
      </w:pPr>
      <w:r>
        <w:rPr>
          <w:rFonts w:ascii="Calibri" w:hAnsi="Calibri"/>
          <w:b/>
          <w:color w:val="4A6B25"/>
          <w:sz w:val="15"/>
        </w:rPr>
        <w:t xml:space="preserve">3. </w:t>
      </w:r>
      <w:r>
        <w:rPr>
          <w:rFonts w:ascii="Calibri" w:hAnsi="Calibri"/>
          <w:b w:val="0"/>
          <w:color w:val="3A4A28"/>
          <w:sz w:val="17"/>
        </w:rPr>
        <w:t>StockAnalysis, GuruFocus — TECH Key Statistics: Forward P/E 35.31x, D/E 14%, ROE 9.03%, Profit Margin 14.97%,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Merck KGaA Acquisition of Bio-Techne — $73/share cash, ~$11.3B enterprise value, expected closing late 2026/early 2027, PR Newswire/GuruFocus, June 2026</w:t>
      </w:r>
    </w:p>
    <w:p>
      <w:pPr>
        <w:spacing w:before="20" w:after="20"/>
        <w:ind w:left="170"/>
      </w:pPr>
      <w:r>
        <w:rPr>
          <w:rFonts w:ascii="Calibri" w:hAnsi="Calibri"/>
          <w:b/>
          <w:color w:val="4A6B25"/>
          <w:sz w:val="15"/>
        </w:rPr>
        <w:t xml:space="preserve">5. </w:t>
      </w:r>
      <w:r>
        <w:rPr>
          <w:rFonts w:ascii="Calibri" w:hAnsi="Calibri"/>
          <w:b w:val="0"/>
          <w:color w:val="3A4A28"/>
          <w:sz w:val="17"/>
        </w:rPr>
        <w:t>Bio-Techne 2025 Sustainability Report and AI-Engineered Designer Protein Portfolio — EPIC values, SBTi targets, corporate website,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