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TECK</w:t>
      </w:r>
      <w:r>
        <w:rPr>
          <w:rFonts w:ascii="Calibri" w:hAnsi="Calibri"/>
          <w:b/>
          <w:color w:val="1A2010"/>
          <w:sz w:val="40"/>
        </w:rPr>
        <w:t xml:space="preserve">  Teck Resources Limited</w:t>
      </w:r>
    </w:p>
    <w:p>
      <w:pPr>
        <w:spacing w:after="120"/>
      </w:pPr>
      <w:r>
        <w:rPr>
          <w:rFonts w:ascii="Calibri" w:hAnsi="Calibri"/>
          <w:b/>
          <w:color w:val="6E8450"/>
          <w:sz w:val="18"/>
        </w:rPr>
        <w:t>GROWTH SLEEVE · 2026-08-29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Copper · NYSE · Canada</w:t>
      </w:r>
    </w:p>
    <w:p>
      <w:pPr>
        <w:spacing w:after="80"/>
      </w:pPr>
      <w:r>
        <w:rPr>
          <w:rFonts w:ascii="Calibri" w:hAnsi="Calibri"/>
          <w:b w:val="0"/>
          <w:color w:val="3A4A28"/>
          <w:sz w:val="20"/>
        </w:rPr>
        <w:t>Teck Resources Limited is a Canadian diversified mining company focused on copper and zinc production following the transformative sale of its steelmaking coal business (Elk Valley Resources) to Glencore. The company operates major mining assets including the QB2 copper mine in Chile and the Trail zinc smelter in British Columbia. Teck produces copper, zinc, and other metals essential for electrification and the energy transition, with 2026 production guidance of 455,000-530,000 tonnes of copper and 410,000-460,000 tonnes of zinc.</w:t>
      </w:r>
    </w:p>
    <w:p>
      <w:r>
        <w:rPr>
          <w:rFonts w:ascii="Calibri" w:hAnsi="Calibri"/>
          <w:b/>
          <w:color w:val="6E8450"/>
          <w:sz w:val="18"/>
        </w:rPr>
        <w:t>13,000 Employees · https://www.teck.com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Teck executed a transformative strategic pivot by selling its entire steelmaking coal business to Glencore, redefining itself as a pure copper/zinc miner aligned with the energy transition [6]. The QB2 copper mine in Chile ramped up to deliver record quarterly copper sales volumes in Q1 2026, representing a multi-billion-dollar greenfield project successfully brought online [1][3]. These represent a fundamental business model transformation. AI Deployment (1/2): Teck leverages AI, digital twins, and automation for extraction efficiency and environmental impact minimization across its operations, integrating these technologies to transform mining processes [4]. However, no specific AI-driven cost savings or revenue gains have been quantified publicly. Market Share (1/2): Meaningful copper and zinc producer but not the category leader — Freeport-McMoRan, BHP, and Codelco dominate global copper production. Record copper sales volumes in Q1 2026 represent growing production scale but Teck remains a mid-tier producer [1]. Product Pipeline (1/2): 2026 production guidance of 455K-530K tonnes copper and 410K-460K tonnes zinc provides clear operational visibility [1]. QB2 mine continuing to ramp toward full capacity. But mining production guidance reflects existing asset utilization rather than new product innovation. R&amp;D Intensity (0/1): Mining companies invest below industry-average in R&amp;D relative to revenue. Teck's innovation is focused on operational efficiency (digital twins, automation) rather than fundamental product or process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Teck's stated purpose centers on responsible resource development and sustainability, with commitments to become 'nature positive' by 2030 (conserving 3 hectares for each hectare mined) and carbon neutral in operations by 2025, with full net zero by 2050 [5][6]. Genuinely intentional sustainability framing that goes beyond industry boilerplate, though the mission is fundamentally about doing extraction responsibly rather than articulating a transformative vision of a better future. Community Impact (2/2): Impact management agreement with the Ktunaxa Nation, described as one of the most comprehensive Indigenous benefit agreements in Canada, demonstrates specific and meaningful community investment [6]. Dow Jones Sustainability World Index inclusion for 13 consecutive years provides third-party validation [5]. Nature-positive commitment with a quantified 3:1 conservation ratio is distinctive and measurable. Employee Retention (1/2): Glassdoor rating of 4.0/5.0 from 735 reviews indicates generally positive employee experience. Positive reviews cite work-life balance and leadership development programs [4]. However, some reviews flag hierarchical culture and trust erosion from frequent reorganizations, suggesting mixed retention signals. Insider Buying (0/2): No evidence of meaningful net insider buying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D/E of 37% scores 1.0, well below the 70% target reflecting conservative leverage for a capital-intensive miner [7]. ROE of 3.06% (trailing twelve months) scores 0.20, significantly below the 15% target — the trailing figure is depressed by the coal business transition and weaker prior-year quarters, with Q1 2026 run-rate ROE significantly higher based on $819M quarterly net income [1][7]. Revenue Growth YoY estimated at approximately 35%, scoring 1.0, driven by record copper prices ($5.83/lb in Q1) and record quarterly copper sales volumes [1][2]. Forward P/E of 23.55 scores 0.91, slightly above the 20 target [7]. Profit Margin of 11.98% (trailing) scores 0.60, with Q1 2026 margins significantly improved (net income of $819M on $3.94B revenue implies approximately 21% current-quarter margin) [1][7]. Forward PEG estimated at 1.5 based on cyclical earnings growth normalization, scoring 0.75 at 2x weight. Revenue 5yr CAGR excluded due to coal business transformation making historical comparisons meaningless. Liquidity floor cleared: approximately 3M avg daily volume at $66.50 yields approximately $200M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Teck Resources demonstrates strong infinite game characteristics in its transformative decision to exit the coal business and redefine itself as a copper/zinc miner aligned with the energy transition — exactly the kind of existential flexibility and courage to lead that Sinek celebrates [5][6]. However, this transformation is recent (CEO Price since 2023), the Just Cause around responsible mining is still developing, and mixed employee trust signals suggest organizational culture is catching up to the strategic vision.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Teck's emerging purpose around 'nature positive' mining and supporting the energy transition through copper production is genuine but relatively recent and untested [5]. The commitment to conserve 3 hectares for each hectare mined and achieve net zero by 2050 demonstrates intentionality. However, this framing arrived alongside the coal business sale — critics have described the coal spinoff as 'greenwashing' rather than a genuine cause-driven decision [6]. The Just Cause has not been validated through multi-decade consistency or leadership transitions.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4.0/5.0 from 735 reviews indicates a generally stable organization. Positive reviews highlight excellent leadership development programs and good work-life balance [4]. However, some employees describe the company as 'very hierarchical' with 'poor leadership and frequent reorganizations' eroding trust. CEO Jonathan Price took over in 2023, meaning leadership continuity is still being established. Mixed signals overall, with adequate but not exceptional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Teck frames competition with BHP, Freeport-McMoRan, Rio Tinto, or other major copper miners. Competitive discourse in public materials focuses on operational metrics and production targets rather than learning from rivals' strengths. Insufficient data to determine whether leadership views competition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sale of Teck's entire steelmaking coal business to Glencore represents a textbook example of existential flexibility — the company abandoned its most profitable and historically core business line to fundamentally redefine itself as a copper/zinc miner aligned with the energy transition [5][6]. Coal was Teck's heritage business and major cash flow generator. This transformation rivals Sinek's canonical examples (Apple moving from Mac to iPhone, Fujifilm pivoting from film). Whether driven by ESG pressure, strategic vision, or both, the outcome is a company that consciously chose a different future over a profitable present.</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Selling the steelmaking coal business — Teck's most profitable operation and historical core — required enormous courage from leadership [5][6]. CEO Price and the board chose long-term strategic positioning over near-term cash flow maximization, walking away from billions in coal profits to redefine the company for the energy transition. The QB2 copper mine represents a $8B+ capital commitment that took years to bring online. The combination of divesting coal and investing in copper during a period of commodity price uncertainty demonstrates precisely the pattern of choosing right over easy that defines courageous capital allocation.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Teck Resources is executing a once-in-a-generation strategic transformation from a diversified coal-and-metals miner into a pure copper/zinc producer positioned for the energy transition and AI infrastructure buildout [5]. Q1 2026 delivered record copper sales volumes and adjusted EBITDA of $2.1B (up 125% YoY), powered by record copper prices of $5.83/lb and QB2 mine ramp-up [1]. Q2 2026 continued the momentum with C$2.2B adjusted EBITDA and adjusted EPS of C$1.93, beating consensus by 68% [2]. The balance sheet is conservatively managed at 37% D/E, and copper's secular demand tailwinds — AI data centers requiring massive electrical infrastructure, global electrification, and EV adoption — provide multi-decade volume growth visibility. 2026 copper production guidance of 455K-530K tonnes positions Teck as a significant beneficiary of the copper supercycle.</w:t>
      </w:r>
    </w:p>
    <w:p>
      <w:pPr>
        <w:spacing w:after="120"/>
      </w:pPr>
      <w:r>
        <w:rPr>
          <w:rFonts w:ascii="Calibri" w:hAnsi="Calibri"/>
          <w:b w:val="0"/>
          <w:color w:val="3A4A28"/>
          <w:sz w:val="20"/>
        </w:rPr>
        <w:t>The bear case centers on commodity price cyclicality: copper at $5.83/lb is near all-time highs, and any normalization in prices would rapidly compress margins and earnings — the trailing ROE of just 3.06% shows how quickly mining profitability can deteriorate when commodity prices weaken [7]. Forward P/E of 23.55 prices in continued earnings growth that is entirely dependent on copper prices remaining elevated. The coal business sale removed a major cash flow diversifier, making Teck a pure copper/zinc play with concentrated commodity exposure. ESG critics have described the coal spinoff as 'greenwashing' rather than genuine transformation, and the transition to 'nature positive' mining remains unproven at scale [6]. QB2 mine operational execution in Chile carries geopolitical and regulatory risk. CEO Price is relatively new (since 2023) and leadership continuity through a commodity downcycle has not been tested.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QB2 copper mine continuing ramp toward full production capacity of 300K+ tonnes annually, with record quarterly copper sales volumes already achieved in Q1 2026, driving organic revenue growth [1][3]</w:t>
      </w:r>
    </w:p>
    <w:p>
      <w:pPr>
        <w:spacing w:before="40" w:after="40"/>
        <w:ind w:left="283"/>
      </w:pPr>
      <w:r>
        <w:rPr>
          <w:rFonts w:ascii="Calibri" w:hAnsi="Calibri"/>
          <w:b/>
          <w:color w:val="4A6B25"/>
          <w:sz w:val="20"/>
        </w:rPr>
        <w:t xml:space="preserve">2. </w:t>
      </w:r>
      <w:r>
        <w:rPr>
          <w:rFonts w:ascii="Calibri" w:hAnsi="Calibri"/>
          <w:b w:val="0"/>
          <w:color w:val="3A4A28"/>
          <w:sz w:val="20"/>
        </w:rPr>
        <w:t>Copper supercycle driven by AI data center electrical infrastructure demand, global electrification, and EV adoption — copper prices at record $5.83/lb with structural supply deficit supporting sustained pricing [1]</w:t>
      </w:r>
    </w:p>
    <w:p>
      <w:pPr>
        <w:spacing w:before="40" w:after="40"/>
        <w:ind w:left="283"/>
      </w:pPr>
      <w:r>
        <w:rPr>
          <w:rFonts w:ascii="Calibri" w:hAnsi="Calibri"/>
          <w:b/>
          <w:color w:val="4A6B25"/>
          <w:sz w:val="20"/>
        </w:rPr>
        <w:t xml:space="preserve">3. </w:t>
      </w:r>
      <w:r>
        <w:rPr>
          <w:rFonts w:ascii="Calibri" w:hAnsi="Calibri"/>
          <w:b w:val="0"/>
          <w:color w:val="3A4A28"/>
          <w:sz w:val="20"/>
        </w:rPr>
        <w:t>Post-coal-sale balance sheet flexibility (37% D/E) enabling potential shareholder returns, growth capital allocation, or strategic acquisitions to expand the copper production base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Copper price cyclicality — current record prices of $5.83/lb are near all-time highs, and any normalization would rapidly compress margins from Q1 2026's approximately 21% net margin to the trailing 11.98%, as demonstrated by the volatile trailing ROE of 3.06% [1][7]</w:t>
      </w:r>
    </w:p>
    <w:p>
      <w:pPr>
        <w:spacing w:before="40" w:after="40"/>
        <w:ind w:left="283"/>
      </w:pPr>
      <w:r>
        <w:rPr>
          <w:rFonts w:ascii="Calibri" w:hAnsi="Calibri"/>
          <w:b/>
          <w:color w:val="4A6B25"/>
          <w:sz w:val="20"/>
        </w:rPr>
        <w:t xml:space="preserve">2. </w:t>
      </w:r>
      <w:r>
        <w:rPr>
          <w:rFonts w:ascii="Calibri" w:hAnsi="Calibri"/>
          <w:b w:val="0"/>
          <w:color w:val="3A4A28"/>
          <w:sz w:val="20"/>
        </w:rPr>
        <w:t>Concentrated commodity exposure following coal divestiture — Teck is now a pure copper/zinc play without the cash flow diversification that coal provided, amplifying portfolio volatility through commodity cycles</w:t>
      </w:r>
    </w:p>
    <w:p>
      <w:pPr>
        <w:spacing w:before="40" w:after="40"/>
        <w:ind w:left="283"/>
      </w:pPr>
      <w:r>
        <w:rPr>
          <w:rFonts w:ascii="Calibri" w:hAnsi="Calibri"/>
          <w:b/>
          <w:color w:val="4A6B25"/>
          <w:sz w:val="20"/>
        </w:rPr>
        <w:t xml:space="preserve">3. </w:t>
      </w:r>
      <w:r>
        <w:rPr>
          <w:rFonts w:ascii="Calibri" w:hAnsi="Calibri"/>
          <w:b w:val="0"/>
          <w:color w:val="3A4A28"/>
          <w:sz w:val="20"/>
        </w:rPr>
        <w:t>QB2 operational and geopolitical risk in Chile, including potential regulatory changes, water access challenges, and community relations in a mining-dependent but politically evolving jurisdiction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Mining operations are structurally immune to AI disruption — physical extraction of copper and zinc ore requires massive capital-intensive infrastructure (open pit and underground mines, processing plants, smelters, transportation networks) that AI cannot substitute [1][3]. Mining operations are heavily regulated with environmental permits, water rights, and land use agreements that create insurmountable barriers to AI-native disruption. Geological expertise, on-site safety operations, and physical commodity logistics involve irreducible physical-world activities. AI actually increases demand for Teck's primary product: copper is the critical conductive metal for AI data centers, electric vehicles, and electrification infrastructure, creating a structural tailwind as AI deployments scale globally. Record copper prices of $5.83/lb in Q1 2026 partially reflect growing AI/electrification demand [1]. AI Opportunity (0/1): While Teck uses AI internally for operational efficiency (digital twins, autonomous mining equipment), the company does not generate revenue from AI products or services [4]. Copper sold to customers who use it in AI infrastructure does not constitute AI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Teck Resources Q1 2026 Unaudited Results — Teck.com Press Release, April 2026</w:t>
      </w:r>
    </w:p>
    <w:p>
      <w:pPr>
        <w:spacing w:before="20" w:after="20"/>
        <w:ind w:left="170"/>
      </w:pPr>
      <w:r>
        <w:rPr>
          <w:rFonts w:ascii="Calibri" w:hAnsi="Calibri"/>
          <w:b/>
          <w:color w:val="4A6B25"/>
          <w:sz w:val="15"/>
        </w:rPr>
        <w:t xml:space="preserve">2. </w:t>
      </w:r>
      <w:r>
        <w:rPr>
          <w:rFonts w:ascii="Calibri" w:hAnsi="Calibri"/>
          <w:b w:val="0"/>
          <w:color w:val="3A4A28"/>
          <w:sz w:val="17"/>
        </w:rPr>
        <w:t>Teck Resources Q2 2026 Unaudited Results — Teck.com Press Release, July 2026</w:t>
      </w:r>
    </w:p>
    <w:p>
      <w:pPr>
        <w:spacing w:before="20" w:after="20"/>
        <w:ind w:left="170"/>
      </w:pPr>
      <w:r>
        <w:rPr>
          <w:rFonts w:ascii="Calibri" w:hAnsi="Calibri"/>
          <w:b/>
          <w:color w:val="4A6B25"/>
          <w:sz w:val="15"/>
        </w:rPr>
        <w:t xml:space="preserve">3. </w:t>
      </w:r>
      <w:r>
        <w:rPr>
          <w:rFonts w:ascii="Calibri" w:hAnsi="Calibri"/>
          <w:b w:val="0"/>
          <w:color w:val="3A4A28"/>
          <w:sz w:val="17"/>
        </w:rPr>
        <w:t>Teck Q1 2026 Earnings Call Transcript — Investing.com, April 2026</w:t>
      </w:r>
    </w:p>
    <w:p>
      <w:pPr>
        <w:spacing w:before="20" w:after="20"/>
        <w:ind w:left="170"/>
      </w:pPr>
      <w:r>
        <w:rPr>
          <w:rFonts w:ascii="Calibri" w:hAnsi="Calibri"/>
          <w:b/>
          <w:color w:val="4A6B25"/>
          <w:sz w:val="15"/>
        </w:rPr>
        <w:t xml:space="preserve">4. </w:t>
      </w:r>
      <w:r>
        <w:rPr>
          <w:rFonts w:ascii="Calibri" w:hAnsi="Calibri"/>
          <w:b w:val="0"/>
          <w:color w:val="3A4A28"/>
          <w:sz w:val="17"/>
        </w:rPr>
        <w:t>Teck Resources AI and Digital Innovation Strategy — AI Magazine/Farmonaut, 2025-2026</w:t>
      </w:r>
    </w:p>
    <w:p>
      <w:pPr>
        <w:spacing w:before="20" w:after="20"/>
        <w:ind w:left="170"/>
      </w:pPr>
      <w:r>
        <w:rPr>
          <w:rFonts w:ascii="Calibri" w:hAnsi="Calibri"/>
          <w:b/>
          <w:color w:val="4A6B25"/>
          <w:sz w:val="15"/>
        </w:rPr>
        <w:t xml:space="preserve">5. </w:t>
      </w:r>
      <w:r>
        <w:rPr>
          <w:rFonts w:ascii="Calibri" w:hAnsi="Calibri"/>
          <w:b w:val="0"/>
          <w:color w:val="3A4A28"/>
          <w:sz w:val="17"/>
        </w:rPr>
        <w:t>Teck Resources ESG and Sustainability Strategy — Globe and Mail/Corporate Knights, 2024-2026</w:t>
      </w:r>
    </w:p>
    <w:p>
      <w:pPr>
        <w:spacing w:before="20" w:after="20"/>
        <w:ind w:left="170"/>
      </w:pPr>
      <w:r>
        <w:rPr>
          <w:rFonts w:ascii="Calibri" w:hAnsi="Calibri"/>
          <w:b/>
          <w:color w:val="4A6B25"/>
          <w:sz w:val="15"/>
        </w:rPr>
        <w:t xml:space="preserve">6. </w:t>
      </w:r>
      <w:r>
        <w:rPr>
          <w:rFonts w:ascii="Calibri" w:hAnsi="Calibri"/>
          <w:b w:val="0"/>
          <w:color w:val="3A4A28"/>
          <w:sz w:val="17"/>
        </w:rPr>
        <w:t>Teck CEO Price and Coal Business Sale ESG Analysis — Globe and Mail/Mining Digital, 2024-2026</w:t>
      </w:r>
    </w:p>
    <w:p>
      <w:pPr>
        <w:spacing w:before="20" w:after="20"/>
        <w:ind w:left="170"/>
      </w:pPr>
      <w:r>
        <w:rPr>
          <w:rFonts w:ascii="Calibri" w:hAnsi="Calibri"/>
          <w:b/>
          <w:color w:val="4A6B25"/>
          <w:sz w:val="15"/>
        </w:rPr>
        <w:t xml:space="preserve">7. </w:t>
      </w:r>
      <w:r>
        <w:rPr>
          <w:rFonts w:ascii="Calibri" w:hAnsi="Calibri"/>
          <w:b w:val="0"/>
          <w:color w:val="3A4A28"/>
          <w:sz w:val="17"/>
        </w:rPr>
        <w:t>Yahoo Finance / StockAnalysis — TECK Key Statistics, Forward P/E, ROE, and Financial Data,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