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TEL</w:t>
      </w:r>
      <w:r>
        <w:rPr>
          <w:rFonts w:ascii="Calibri" w:hAnsi="Calibri"/>
          <w:b/>
          <w:color w:val="1A2010"/>
          <w:sz w:val="40"/>
        </w:rPr>
        <w:t xml:space="preserve">  TE Connectivity plc</w:t>
      </w:r>
    </w:p>
    <w:p>
      <w:pPr>
        <w:spacing w:after="120"/>
      </w:pPr>
      <w:r>
        <w:rPr>
          <w:rFonts w:ascii="Calibri" w:hAnsi="Calibri"/>
          <w:b/>
          <w:color w:val="6E8450"/>
          <w:sz w:val="18"/>
        </w:rPr>
        <w:t>DIVIDEND SLEEVE · 2026-08-29 · Inspire: -49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78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Electronic Components · NYSE · Ireland</w:t>
      </w:r>
    </w:p>
    <w:p>
      <w:pPr>
        <w:spacing w:after="80"/>
      </w:pPr>
      <w:r>
        <w:rPr>
          <w:rFonts w:ascii="Calibri" w:hAnsi="Calibri"/>
          <w:b w:val="0"/>
          <w:color w:val="3A4A28"/>
          <w:sz w:val="20"/>
        </w:rPr>
        <w:t>TE Connectivity plc is a $17 billion global industrial technology leader providing connectivity and sensor solutions that enable a safer, sustainable, productive, and connected future. The company operates through two segments: Transportation Solutions (automotive connectors, sensors, and electrification components) and Industrial Solutions (aerospace, defense, medical, data center, and energy connectors). TE is the world's largest connector company, serving customers across virtually every end market where reliable physical connectivity is essential, from AI data centers to electric vehicles to aerospace systems.</w:t>
      </w:r>
    </w:p>
    <w:p>
      <w:r>
        <w:rPr>
          <w:rFonts w:ascii="Calibri" w:hAnsi="Calibri"/>
          <w:b/>
          <w:color w:val="6E8450"/>
          <w:sz w:val="18"/>
        </w:rPr>
        <w:t>92,000 Employees · https://www.te.com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TE has successfully expanded its product portfolio into high-growth applications over the past 5 years, with AI data center connectors (DDN orders up 70% YTD), automotive electrification connectors, and next-generation sensor solutions driving record revenue [1][2]. Q3 FY2026 delivered record $5.16B in sales (up 14% reported, 12% organic) and record adjusted EPS of $2.94 (up 22% YoY) [2]. No transformative business model pivot, but consistent execution in extending category leadership into secular growth markets. AI Deployment (1/2): Founded an AI innovation center in Singapore in 2024 with 12-15 engineers focused on AI-based manufacturing and operational solutions [5]. Deployed 'AI Kaizens' to broaden leadership capabilities across the organization [5]. CEO Curtin emphasizes long-term AI transformation over short-term efficiency gains [4]. However, no specific AI-driven cost savings or revenue gains have been separately quantified. Market Share (2/2): World's largest connector company with category-defining positions in automotive, industrial, and data center connectors [4]. Record $5.7B orders in Q3 FY2026 (up 27% YoY) demonstrate sustained market leadership with network effects from engineering design-ins and customer switching costs [2]. Double-digit order growth across all businesses confirms broad-based category dominance. Product Pipeline (2/2): Record orders of $5.7B with DDN orders up 70% YTD provide exceptional revenue visibility and backlog growth [2][3]. Q4 FY2026 guidance of $5.25B (up 11% YoY) with full-year revenue growth of approximately 15%. FY2026 outlook raised, reflecting AI data center and automotive electrification product pipelines converting to revenue. R&amp;D Intensity (1/1): Consistent R&amp;D investment in connector engineering, sensor technology, and manufacturing innovation across automotive, industrial, and data center applications. The 2026 Industrial Technology Index survey demonstrates TE's thought leadership in innovation strategy [6].</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TE's stated purpose to 'create a safer, sustainable, productive, and connected future' is specific and thoughtful — it connects engineering precision to societal outcomes and differentiates the company from peers by framing connectivity as an enabler of broader human progress [4]. CEO Curtin consistently references this purpose when discussing AI strategy, emphasizing 'long-term transformation, not short-term efficiency gains' [4]. The purpose shapes strategic decisions around which end markets to serve and how to deploy technology. However, the framing has not been tested through CEO transitions (Curtin has led since 2017). Community Impact (1/2): Low ESG risk rating of 15 from Sustainalytics with strong environmental progress — 30% reduction in absolute GHG emissions and 37% electricity from zero-emission sources as part of '2030 One Connected World' sustainability targets [7]. General corporate sustainability commitment but no specific community investment programs, foundation activities, or philanthropic dollar amounts cited. Employee Retention (1/2): Leadership emphasizes inclusive culture that empowers employees worldwide. AI innovation center in Singapore demonstrates investment in talent development. 'AI Kaizens' deployed as leadership development tool [5]. Positive cultural signals but no specific tenure data, voluntary turnover rates, or exceptional retention metrics quantified. Insider Buying (0/2): No evidence of meaningful net insider buying identified in recent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Dividend stock with broadly excellent metrics. D/E of 45% scores 1.0, well below the 70% target reflecting conservative leverage with $1.26B cash against $5.69B debt [8]. ROE of 14.62% scores 0.97, essentially at the 15% target — strong capital efficiency for a manufacturing company [8]. Revenue Growth YoY of 15% (full-year FY2026 guidance) scores 1.0, driven by record orders in both segments [1][2]. Forward P/E of 19.03 scores 1.0, below the 20 target and reflecting attractive valuation for a company delivering 20%+ EPS growth [8]. Profit Margin of 15.61% scores 0.78, the primary drag — below the 20% target but strong for a physical connector manufacturer [8]. Payout Ratio of approximately 25.8% ($2.84 dividend against estimated $11 annual adjusted EPS) scores 1.0 [9]. Consecutive Years Paid of 19 scores 1.0 at 2x weight (dividends since 2007 Tyco spinoff). Consecutive Years Growth of approximately 15 scores 1.0 [9]. 5yr Dividend Growth CAGR estimated at 8% scores 1.0 at 2x weight [9]. Liquidity floor cleared: approximately 2M avg daily volume at $214.74 yields approximately $430M daily dollar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TE Connectivity demonstrates solid infinite game characteristics through CEO Curtin's emphasis on long-term transformation over short-term gains, consistent investment in innovation, and a purpose that connects engineering to societal outcomes [4]. The company's strategic positioning at the intersection of AI, electrification, and industrial automation reflects a vision beyond quarterly earnings. However, the competitive approach remains focused on category leadership through engineering excellence rather than a deeply articulated Just Cause, and the organizational culture lacks the exceptional trust indicators that would signal a true infinite game player.</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'Create a safer, sustainable, productive, and connected future' is a genuine and distinctive cause that frames physical connectivity as an enabler of human progress rather than a commodity business [4]. CEO Curtin explicitly positions AI as a tool for long-term industrial transformation, stating 'the real promise of AI is long-term transformation, not short-term efficiency gains' [4]. Strategic decisions around AI data center connectors, automotive electrification, and medical device connectivity can be traced back to this purpose. However, the framing has not yet been tested through leadership transitions or existential crises.</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CEO Curtin has led since 2017 (9 years), providing stable leadership through multiple market cycles and strategic pivots. The company employs 92,000 people in a culture emphasizing inclusivity and innovation empowerment [4]. AI Kaizens deployed as leadership development tools demonstrate investment in employee growth [5]. TE's Industrial Technology Index report reveals awareness of organizational challenges in aligning engineers and executives on AI goals [6]. Adequate trust signals without exceptional data points.</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CEO Curtin's competitive framing focuses on making TE 'the company customers turn to first' through superior engineering rather than defeating competitors [4]. The Industrial Technology Index — a multi-year research initiative surveying industrial innovation challenges — demonstrates a learning orientation toward the broader competitive landscape [6]. TE studies industry-wide innovation challenges including the tension between financial goals and transformative R&amp;D, reflecting the self-awareness Sinek values.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TE has evolved from a Tyco International conglomerate division (2007 spinoff) into a focused global connectivity solutions leader. Strategic pivot toward AI data center connectors and automotive electrification represents meaningful capability evolution — DDN orders up 70% YTD shows successful market extension [2][3]. The acquisition of First Sensor and other sensor companies expanded capabilities beyond traditional connectors. However, the evolution has been incremental market extension rather than a transformative business model reinvention.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CEO Curtin's public stance that AI's value is in long-term transformation rather than short-term efficiency gains challenges the prevailing market narrative and signals willingness to invest for long-term capability [4]. The AI innovation center in Singapore and organizational restructuring around AI show commitment to emerging technology investment. Consistent R&amp;D investment through market cycles demonstrates capital allocation discipline. However, no evidence of dramatic bet-the-company decisions or sacrificing near-term earnings for transformative long-term capabilities.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TE Connectivity is the world's largest connector company experiencing an AI-driven demand supercycle, with Q3 FY2026 delivering record orders of $5.7B (up 27% YoY), record revenue of $5.16B (up 14%), and record adjusted EPS of $2.94 (up 22%) [2]. DDN orders surged 70% YTD as AI data center buildout drives unprecedented demand for high-performance connectivity products [2][3]. The full-year FY2026 outlook calls for approximately 15% revenue growth and 20%+ EPS growth, with guidance raised on record backlog [1]. Forward P/E of 19.03 is attractive for a company with this growth profile, while the balance sheet remains conservative at 45% D/E with 15.61% profit margins [8]. The dividend has grown consistently for 15 years with a sustainable 25.8% payout ratio, and the 1.34% yield provides income alongside secular growth exposure to AI, electrification, and industrial automation [9].</w:t>
      </w:r>
    </w:p>
    <w:p>
      <w:pPr>
        <w:spacing w:after="120"/>
      </w:pPr>
      <w:r>
        <w:rPr>
          <w:rFonts w:ascii="Calibri" w:hAnsi="Calibri"/>
          <w:b w:val="0"/>
          <w:color w:val="3A4A28"/>
          <w:sz w:val="20"/>
        </w:rPr>
        <w:t>The bear case centers on cyclicality risk: connector demand is historically correlated with industrial and automotive production cycles, and the current AI-driven order surge may create a boom-bust pattern if data center buildout decelerates or customers over-order [2][3]. Revenue growth of 15% partly reflects the inclusion of acquisitions and currency, with organic growth of 12% in Q3 suggesting somewhat more moderate underlying momentum. ROE of 14.62% is just below the 15% target, and profit margin of 15.61% reflects the structural cost base of physical manufacturing — any input cost inflation or competitive pricing pressure could compress margins [8]. The concentration of growth in DDN/AI data center orders creates end-market concentration risk if cloud capital expenditure cycles shift. CEO Curtin himself acknowledges a 'growing need for shared objectives between engineers and executives' around AI adoption, suggesting internal execution risk in translating the AI opportunity into sustained competitive advantage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Record $5.7B Q3 FY2026 orders (up 27% YoY) with DDN orders surging 70% YTD driven by AI data center connector demand, creating substantial backlog visibility into FY2027 [2][3]</w:t>
      </w:r>
    </w:p>
    <w:p>
      <w:pPr>
        <w:spacing w:before="40" w:after="40"/>
        <w:ind w:left="283"/>
      </w:pPr>
      <w:r>
        <w:rPr>
          <w:rFonts w:ascii="Calibri" w:hAnsi="Calibri"/>
          <w:b/>
          <w:color w:val="4A6B25"/>
          <w:sz w:val="20"/>
        </w:rPr>
        <w:t xml:space="preserve">2. </w:t>
      </w:r>
      <w:r>
        <w:rPr>
          <w:rFonts w:ascii="Calibri" w:hAnsi="Calibri"/>
          <w:b w:val="0"/>
          <w:color w:val="3A4A28"/>
          <w:sz w:val="20"/>
        </w:rPr>
        <w:t>Full-year FY2026 guidance raised to approximately 15% sales growth and 20%+ EPS growth, with Q4 guidance of $5.25B and $3.05 adjusted EPS reflecting continued acceleration [1][2]</w:t>
      </w:r>
    </w:p>
    <w:p>
      <w:pPr>
        <w:spacing w:before="40" w:after="40"/>
        <w:ind w:left="283"/>
      </w:pPr>
      <w:r>
        <w:rPr>
          <w:rFonts w:ascii="Calibri" w:hAnsi="Calibri"/>
          <w:b/>
          <w:color w:val="4A6B25"/>
          <w:sz w:val="20"/>
        </w:rPr>
        <w:t xml:space="preserve">3. </w:t>
      </w:r>
      <w:r>
        <w:rPr>
          <w:rFonts w:ascii="Calibri" w:hAnsi="Calibri"/>
          <w:b w:val="0"/>
          <w:color w:val="3A4A28"/>
          <w:sz w:val="20"/>
        </w:rPr>
        <w:t>Automotive electrification and industrial automation secular trends providing multi-year demand tailwinds beyond the AI data center supercycle, diversifying growth drivers across Transportation and Industrial segments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Cyclical order volatility in connector demand — record orders may reflect double-ordering or inventory building by hyperscaler customers, creating risk of an order correction if AI data center buildout decelerates or absorbs existing inventory [2][3]</w:t>
      </w:r>
    </w:p>
    <w:p>
      <w:pPr>
        <w:spacing w:before="40" w:after="40"/>
        <w:ind w:left="283"/>
      </w:pPr>
      <w:r>
        <w:rPr>
          <w:rFonts w:ascii="Calibri" w:hAnsi="Calibri"/>
          <w:b/>
          <w:color w:val="4A6B25"/>
          <w:sz w:val="20"/>
        </w:rPr>
        <w:t xml:space="preserve">2. </w:t>
      </w:r>
      <w:r>
        <w:rPr>
          <w:rFonts w:ascii="Calibri" w:hAnsi="Calibri"/>
          <w:b w:val="0"/>
          <w:color w:val="3A4A28"/>
          <w:sz w:val="20"/>
        </w:rPr>
        <w:t>End-market concentration risk as DDN/AI data center orders become an increasingly large portion of growth — any slowdown in cloud capital expenditure cycles would disproportionately impact TE's fastest-growing business</w:t>
      </w:r>
    </w:p>
    <w:p>
      <w:pPr>
        <w:spacing w:before="40" w:after="40"/>
        <w:ind w:left="283"/>
      </w:pPr>
      <w:r>
        <w:rPr>
          <w:rFonts w:ascii="Calibri" w:hAnsi="Calibri"/>
          <w:b/>
          <w:color w:val="4A6B25"/>
          <w:sz w:val="20"/>
        </w:rPr>
        <w:t xml:space="preserve">3. </w:t>
      </w:r>
      <w:r>
        <w:rPr>
          <w:rFonts w:ascii="Calibri" w:hAnsi="Calibri"/>
          <w:b w:val="0"/>
          <w:color w:val="3A4A28"/>
          <w:sz w:val="20"/>
        </w:rPr>
        <w:t>Profit margin of 15.61% faces structural pressure from physical manufacturing costs, raw material input prices, and competitive dynamics in a global connector market where lower-cost Asian competitors are scaling capabilities [8]</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(9/9): TE Connectivity manufactures the physical connectors, cables, and sensors that AI infrastructure literally cannot function without — every AI server, GPU cluster, networking switch, and data center requires TE's high-performance connectivity products [2][3]. Physical connector manufacturing involves precision engineering, materials science, cleanroom production, and customer qualification processes that AI cannot substitute. Regulatory certifications (UL, automotive IATF, aerospace AS9100) create additional barriers to disruption. AI is the single largest demand driver for TE's fastest-growing business: DDN (Data, Devices &amp; Networks) orders surged 70% YTD in Q3 FY2026, and record $5.7B total orders (up 27% YoY) are substantially driven by AI data center buildout [2][3]. The more AI scales globally, the more connectors, cables, and sensors are needed — TE's business is structurally enhanced by AI proliferation. AI Opportunity (1/1): AI data center connector demand is generating quantifiable and rapidly growing revenue. DDN orders up 70% YTD represents direct AI-related revenue growth [2][3]. The company will exit FY2026 with a strong backlog position driven substantially by AI infrastructure demand. CEO Curtin's Industrial Technology Index explicitly tracks AI adoption as a revenue driver [6].</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-49</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TE Connectivity Q2 FY2026 Earnings Release — 15% Sales Growth and 20%+ EPS Growth, Investors.te.com, April 2026</w:t>
      </w:r>
    </w:p>
    <w:p>
      <w:pPr>
        <w:spacing w:before="20" w:after="20"/>
        <w:ind w:left="170"/>
      </w:pPr>
      <w:r>
        <w:rPr>
          <w:rFonts w:ascii="Calibri" w:hAnsi="Calibri"/>
          <w:b/>
          <w:color w:val="4A6B25"/>
          <w:sz w:val="15"/>
        </w:rPr>
        <w:t xml:space="preserve">2. </w:t>
      </w:r>
      <w:r>
        <w:rPr>
          <w:rFonts w:ascii="Calibri" w:hAnsi="Calibri"/>
          <w:b w:val="0"/>
          <w:color w:val="3A4A28"/>
          <w:sz w:val="17"/>
        </w:rPr>
        <w:t>TE Connectivity Q3 FY2026 Earnings Release — 14% Sales Growth, Record $5.7B Orders, PR Newswire, July 2026</w:t>
      </w:r>
    </w:p>
    <w:p>
      <w:pPr>
        <w:spacing w:before="20" w:after="20"/>
        <w:ind w:left="170"/>
      </w:pPr>
      <w:r>
        <w:rPr>
          <w:rFonts w:ascii="Calibri" w:hAnsi="Calibri"/>
          <w:b/>
          <w:color w:val="4A6B25"/>
          <w:sz w:val="15"/>
        </w:rPr>
        <w:t xml:space="preserve">3. </w:t>
      </w:r>
      <w:r>
        <w:rPr>
          <w:rFonts w:ascii="Calibri" w:hAnsi="Calibri"/>
          <w:b w:val="0"/>
          <w:color w:val="3A4A28"/>
          <w:sz w:val="17"/>
        </w:rPr>
        <w:t>TE Connectivity Q3 FY2026 Earnings Call Highlights — Record Orders and AI Backlog Growth, Yahoo Finance/Simply Wall St, July 2026</w:t>
      </w:r>
    </w:p>
    <w:p>
      <w:pPr>
        <w:spacing w:before="20" w:after="20"/>
        <w:ind w:left="170"/>
      </w:pPr>
      <w:r>
        <w:rPr>
          <w:rFonts w:ascii="Calibri" w:hAnsi="Calibri"/>
          <w:b/>
          <w:color w:val="4A6B25"/>
          <w:sz w:val="15"/>
        </w:rPr>
        <w:t xml:space="preserve">4. </w:t>
      </w:r>
      <w:r>
        <w:rPr>
          <w:rFonts w:ascii="Calibri" w:hAnsi="Calibri"/>
          <w:b w:val="0"/>
          <w:color w:val="3A4A28"/>
          <w:sz w:val="17"/>
        </w:rPr>
        <w:t>Fortune — TE Connectivity CEO Curtin on AI Long-Term Transformation, April 2026</w:t>
      </w:r>
    </w:p>
    <w:p>
      <w:pPr>
        <w:spacing w:before="20" w:after="20"/>
        <w:ind w:left="170"/>
      </w:pPr>
      <w:r>
        <w:rPr>
          <w:rFonts w:ascii="Calibri" w:hAnsi="Calibri"/>
          <w:b/>
          <w:color w:val="4A6B25"/>
          <w:sz w:val="15"/>
        </w:rPr>
        <w:t xml:space="preserve">5. </w:t>
      </w:r>
      <w:r>
        <w:rPr>
          <w:rFonts w:ascii="Calibri" w:hAnsi="Calibri"/>
          <w:b w:val="0"/>
          <w:color w:val="3A4A28"/>
          <w:sz w:val="17"/>
        </w:rPr>
        <w:t>IndustryWeek — AI Kaizens Broaden Leadership Toolbox at TE Connectivity, 2025</w:t>
      </w:r>
    </w:p>
    <w:p>
      <w:pPr>
        <w:spacing w:before="20" w:after="20"/>
        <w:ind w:left="170"/>
      </w:pPr>
      <w:r>
        <w:rPr>
          <w:rFonts w:ascii="Calibri" w:hAnsi="Calibri"/>
          <w:b/>
          <w:color w:val="4A6B25"/>
          <w:sz w:val="15"/>
        </w:rPr>
        <w:t xml:space="preserve">6. </w:t>
      </w:r>
      <w:r>
        <w:rPr>
          <w:rFonts w:ascii="Calibri" w:hAnsi="Calibri"/>
          <w:b w:val="0"/>
          <w:color w:val="3A4A28"/>
          <w:sz w:val="17"/>
        </w:rPr>
        <w:t>TE Connectivity 2026 Industrial Technology Index Report — Scaling the AI Revolution, TE.com, 2026</w:t>
      </w:r>
    </w:p>
    <w:p>
      <w:pPr>
        <w:spacing w:before="20" w:after="20"/>
        <w:ind w:left="170"/>
      </w:pPr>
      <w:r>
        <w:rPr>
          <w:rFonts w:ascii="Calibri" w:hAnsi="Calibri"/>
          <w:b/>
          <w:color w:val="4A6B25"/>
          <w:sz w:val="15"/>
        </w:rPr>
        <w:t xml:space="preserve">7. </w:t>
      </w:r>
      <w:r>
        <w:rPr>
          <w:rFonts w:ascii="Calibri" w:hAnsi="Calibri"/>
          <w:b w:val="0"/>
          <w:color w:val="3A4A28"/>
          <w:sz w:val="17"/>
        </w:rPr>
        <w:t>Yahoo Finance — TEL Sustainability and ESG Ratings, Sustainalytics, accessed August 2026</w:t>
      </w:r>
    </w:p>
    <w:p>
      <w:pPr>
        <w:spacing w:before="20" w:after="20"/>
        <w:ind w:left="170"/>
      </w:pPr>
      <w:r>
        <w:rPr>
          <w:rFonts w:ascii="Calibri" w:hAnsi="Calibri"/>
          <w:b/>
          <w:color w:val="4A6B25"/>
          <w:sz w:val="15"/>
        </w:rPr>
        <w:t xml:space="preserve">8. </w:t>
      </w:r>
      <w:r>
        <w:rPr>
          <w:rFonts w:ascii="Calibri" w:hAnsi="Calibri"/>
          <w:b w:val="0"/>
          <w:color w:val="3A4A28"/>
          <w:sz w:val="17"/>
        </w:rPr>
        <w:t>StockAnalysis / GuruFocus — TEL Key Statistics, Forward P/E, ROE, and Financial Data, accessed August 2026</w:t>
      </w:r>
    </w:p>
    <w:p>
      <w:pPr>
        <w:spacing w:before="20" w:after="20"/>
        <w:ind w:left="170"/>
      </w:pPr>
      <w:r>
        <w:rPr>
          <w:rFonts w:ascii="Calibri" w:hAnsi="Calibri"/>
          <w:b/>
          <w:color w:val="4A6B25"/>
          <w:sz w:val="15"/>
        </w:rPr>
        <w:t xml:space="preserve">9. </w:t>
      </w:r>
      <w:r>
        <w:rPr>
          <w:rFonts w:ascii="Calibri" w:hAnsi="Calibri"/>
          <w:b w:val="0"/>
          <w:color w:val="3A4A28"/>
          <w:sz w:val="17"/>
        </w:rPr>
        <w:t>StockAnalysis / Dividend.com — TEL Dividend History, Yield, and Growth Rates, accessed August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