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TEM</w:t>
      </w:r>
      <w:r>
        <w:rPr>
          <w:rFonts w:ascii="Calibri" w:hAnsi="Calibri"/>
          <w:b/>
          <w:color w:val="1A2010"/>
          <w:sz w:val="40"/>
        </w:rPr>
        <w:t xml:space="preserve">  Tempus AI, Inc.</w:t>
      </w:r>
    </w:p>
    <w:p>
      <w:pPr>
        <w:spacing w:after="120"/>
      </w:pPr>
      <w:r>
        <w:rPr>
          <w:rFonts w:ascii="Calibri" w:hAnsi="Calibri"/>
          <w:b/>
          <w:color w:val="6E8450"/>
          <w:sz w:val="18"/>
        </w:rPr>
        <w:t>GROWTH SLEEVE · 2026-08-27 · Inspire: 51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NASDAQ · United States</w:t>
      </w:r>
    </w:p>
    <w:p>
      <w:pPr>
        <w:spacing w:after="80"/>
      </w:pPr>
      <w:r>
        <w:rPr>
          <w:rFonts w:ascii="Calibri" w:hAnsi="Calibri"/>
          <w:b w:val="0"/>
          <w:color w:val="3A4A28"/>
          <w:sz w:val="20"/>
        </w:rPr>
        <w:t>Tempus AI is a healthcare technology company that has built one of the world's largest libraries of clinical and molecular data, using artificial intelligence to deliver precision medicine at scale. The company operates across two segments: Diagnostics (genomic profiling, molecular diagnostics, MRD testing) generating $261M in Q1 2026, and Data &amp; Applications (AI platform licensing to biopharma for drug discovery) generating $87M in Q1 2026. Founded in 2015 by Eric Lefkofsky after a personal experience with cancer, Tempus IPO'd on NASDAQ in June 2024. Q1 2026 revenue grew 36% to $348.1M, Q2 reached $382.5M (+22%), and the company achieved its first GAAP quarterly profit of $5.6M in Q2 2026. Full-year 2026 guidance is $1.595-$1.605B with ~$65M adjusted EBITDA. Market cap is approximately $12.4B.</w:t>
      </w:r>
    </w:p>
    <w:p>
      <w:r>
        <w:rPr>
          <w:rFonts w:ascii="Calibri" w:hAnsi="Calibri"/>
          <w:b/>
          <w:color w:val="6E8450"/>
          <w:sz w:val="18"/>
        </w:rPr>
        <w:t>2,800 Employees · https://www.tempus.com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Tempus built one of the world's largest clinical-molecular data libraries from scratch, scaled from a startup to ~$1.6B annual revenue run rate, and successfully IPO'd in June 2024 [1]. The platform integrates genomic sequencing, clinical data, and machine learning in ways no competitor had assembled at this scale. MRD (Minimal Residual Disease) testing volume grew 500% YoY in Q1 2026. However, revenue growth decelerated from 36% in Q1 to 22% in Q2 2026, suggesting the hypergrowth phase may be normalizing [1]. AI Deployment (2/2): AI is the core product. Genomic profiling algorithms, precision medicine treatment matching, and the pharma data platform are AI-driven products shipping to customers and generating revenue — Q1 Data &amp; Applications revenue of $87M (+40.5% YoY) represents directly monetized AI capabilities [1]. Market Share (2/2): Tempus holds a leading position in AI-powered precision medicine, collaborating with 19 of the top 20 pharmaceutical companies and hundreds of biotech firms [2]. First-mover advantage in scaled MRD testing. Competitors Foundation Medicine (Roche), Guardant Health, and Illumina each address pieces of the market but none matches Tempus's integrated data-plus-diagnostics platform breadth. Product Pipeline (1/2): Expansion into cardiology and other therapeutic areas beyond oncology, MRD testing scaling (500% volume growth), and additional pharma partnerships represent a strong pipeline [1]. However, execution risk remains significant given persistent GAAP losses and limited timeline visibility for newer verticals. R&amp;D Intensity (1/1): Heavy technology investment as a healthcare AI platform company, with continuous expansion of sequencing capabilities, AI algorithms, and data infrastructure.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Eric Lefkofsky founded Tempus in 2015 after a deeply personal experience with cancer, driven by the conviction that AI could ensure every patient receives the right treatment at the right time [2]. This purpose is specific, personal, and has guided consistent execution from founding through IPO to a $1.6B revenue run rate. The mission genuinely differentiates from diagnostic peers and connects healthcare data to patient outcomes. Community Impact (0/2): Precision medicine has inherent societal benefit, but no specific charitable programs, foundation activity, or quantified community investment beyond the commercial business has been identified. Employee Retention (0/2): No specific turnover, tenure, or employee satisfaction data is publicly available for this recently public company. The ~2,800-person workforce is growing but retention metrics are not disclosed. Insider Buying (0/2): Spruce Point Capital's short report characterized CEO Lefkofsky as a 'cash out king' with a history of promoting disruptive technology companies then liquidating positions, and raised concerns about 'aggressive and suspicious accounting' — leading to a securities fraud investigation in May 2025 following a 19%+ stock decline [3]. This pattern undermines insider conviction signals despite the large founder stake.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 stock weights with unavailable metrics excluded. Revenue growth is exceptional — approximately 25% YoY for FY2026 guidance and estimated 38%+ five-year CAGR — both scoring at ceiling [1]. D/E of 270% is near the 300% floor, scoring just 0.13, reflecting $1.44B in debt against $816M cash [4]. ROE of -67.44% and profit margin of -19.06% both score zero, reflecting deep cumulative losses on the trailing twelve months (-$254M net loss) despite the Q2 2026 GAAP profitability milestone of $5.6M [1][4]. Forward P/E and PEG are not meaningful given the company's near-zero GAAP earnings and are excluded from calculation. The company just crossed GAAP profitability in a single quarter, suggesting the path to sustained earnings remains long. Liquidity floor cleared comfortably: 9.55M avg daily volume x $68.48 = $654M daily trading value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Tempus demonstrates meaningful infinite-game characteristics rooted in the founder's personal mission and decade-long platform-building commitment. However, as a recently public company facing securities fraud investigations, CEO cash-out concerns from short sellers, and a business that has not yet survived a major crisis or leadership transition, the depth of infinite-game commitment remains unproven. The company is playing to reach a profitability milestone rather than playing an infinite game of purpose-driven healthcare transformation.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Lefkofsky's personal cancer experience birthed a genuine mission — using AI to ensure every patient gets the right treatment [2]. The mission has guided 10+ years of consistent platform building. However, the Spruce Point short report's characterization of the CEO as following a pattern of 'promoting disruptive companies then cashing out' casts doubt on whether the Just Cause transcends personal financial incentives [3]. The cause has not survived a major crisis, leadership transition, or existential threat.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Tempus has a dedicated Chief People Officer and the founder-led environment provides clear organizational direction [2]. Growing from startup to approximately 2,800 employees while maintaining a coherent healthcare mission suggests functional team dynamics. However, the securities fraud investigation and short seller scrutiny create organizational stress, and no specific empowerment practices, satisfaction metrics, or exceptional trust indicators are publicly available for this young company.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Tempus competes with Foundation Medicine (Roche), Guardant Health, and Illumina, each with distinct strengths [2]. No specific evidence was found of management framing competition in terms of learning from rivals' strengths or using competitive pressure for self-improvement. The company's public positioning emphasizes its own platform breadth rather than acknowledging worthy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Tempus has evolved meaningfully — from a genomic data company to clinical diagnostics, then to a pharma data licensing platform (Data &amp; Applications), and most recently into MRD testing with 500% YoY volume growth [1]. Each expansion was driven by the core mission rather than desperation. However, these represent organic expansion within the healthcare AI thesis, not a truly transformative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Lefkofsky invested years and significant capital building Tempus while sustaining deep cash burn, choosing to stay private until 2024 to build the platform before going public [2]. The decision to continue heavy R&amp;D investment despite mounting losses — prioritizing data library construction over near-term profitability — required conviction. However, the Spruce Point allegations of aggressive accounting and circular cash flows suggest the courage may be more financial engineering than genuine long-term sacrifice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Tempus AI is the leading AI-native precision medicine platform, with Q1 2026 revenue of $348.1M (+36% YoY) and Q2 of $382.5M (+22%), powered by one of the world's largest clinical-molecular data libraries [1]. The company achieved its first GAAP quarterly profit of $5.6M in Q2 2026, signaling an inflection toward sustainable profitability, with full-year guidance of $1.595-$1.605B revenue and ~$65M adjusted EBITDA [1]. MRD testing volume grew 500% YoY, representing a transformative new capability in cancer monitoring. Collaboration with 19 of the top 20 pharma companies validates the Data &amp; Applications platform at the highest tier of biopharma, with 63.98% gross margins providing the foundation for operating leverage as scale increases [4]. The Inspire Impact Score of 51 (ALIGNED) makes Tempus one of the few high-growth AI companies available to faith-based investors. AI Resilience of 8 reflects that Tempus IS the AI disruption in healthcare — protected by regulatory barriers, proprietary data, and deep domain expertise.</w:t>
      </w:r>
    </w:p>
    <w:p>
      <w:pPr>
        <w:spacing w:after="120"/>
      </w:pPr>
      <w:r>
        <w:rPr>
          <w:rFonts w:ascii="Calibri" w:hAnsi="Calibri"/>
          <w:b w:val="0"/>
          <w:color w:val="3A4A28"/>
          <w:sz w:val="20"/>
        </w:rPr>
        <w:t>The bear case centers on governance risk and extreme valuation. Spruce Point Capital's short report raised concerns about 'aggressive and suspicious accounting,' CEO cash-out patterns, and circular cash flows between related parties, leading to a securities fraud investigation following a 19% stock decline in May 2025 [3]. At $12.4B market cap against trailing losses of -$254M, with D/E of 270% and ROE of -67.44%, the stock is priced for flawless execution of an unproven profitability trajectory [4]. Revenue growth decelerated sharply from 36% in Q1 to 22% in Q2 2026, raising questions about growth sustainability [1]. The 18.42% short interest — one of the highest among healthcare stocks — reflects deep skepticism. Competition from well-capitalized rivals (Foundation Medicine/Roche, Guardant Health) could pressure margins as genomic testing commoditizes. The average analyst price target of $63.36 sits below the current stock price, suggesting limited upside in consensus estimates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profitability inflection — Q2 2026's $5.6M net income is the first quarterly profit, and full-year adjusted EBITDA of ~$65M would validate the path to sustained profitability and could trigger a re-rating from growth story to sustainable platform [1]</w:t>
      </w:r>
    </w:p>
    <w:p>
      <w:pPr>
        <w:spacing w:before="40" w:after="40"/>
        <w:ind w:left="283"/>
      </w:pPr>
      <w:r>
        <w:rPr>
          <w:rFonts w:ascii="Calibri" w:hAnsi="Calibri"/>
          <w:b/>
          <w:color w:val="4A6B25"/>
          <w:sz w:val="20"/>
        </w:rPr>
        <w:t xml:space="preserve">2. </w:t>
      </w:r>
      <w:r>
        <w:rPr>
          <w:rFonts w:ascii="Calibri" w:hAnsi="Calibri"/>
          <w:b w:val="0"/>
          <w:color w:val="3A4A28"/>
          <w:sz w:val="20"/>
        </w:rPr>
        <w:t>MRD testing volume growth of 500% YoY represents a high-growth new product line expanding the TAM beyond initial genomic profiling into longitudinal cancer treatment monitoring [1]</w:t>
      </w:r>
    </w:p>
    <w:p>
      <w:pPr>
        <w:spacing w:before="40" w:after="40"/>
        <w:ind w:left="283"/>
      </w:pPr>
      <w:r>
        <w:rPr>
          <w:rFonts w:ascii="Calibri" w:hAnsi="Calibri"/>
          <w:b/>
          <w:color w:val="4A6B25"/>
          <w:sz w:val="20"/>
        </w:rPr>
        <w:t xml:space="preserve">3. </w:t>
      </w:r>
      <w:r>
        <w:rPr>
          <w:rFonts w:ascii="Calibri" w:hAnsi="Calibri"/>
          <w:b w:val="0"/>
          <w:color w:val="3A4A28"/>
          <w:sz w:val="20"/>
        </w:rPr>
        <w:t>Data &amp; Applications segment growing 40%+ (Q1) with pharma partnerships validates a high-margin, scalable AI licensing model that should improve operating leverage as more biopharma clients are onboarded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Spruce Point Capital short report allegations of aggressive accounting, CEO cash-out pattern, and circular cash flows led to a securities fraud investigation — any adverse findings could materially damage investor confidence and stock price [3]</w:t>
      </w:r>
    </w:p>
    <w:p>
      <w:pPr>
        <w:spacing w:before="40" w:after="40"/>
        <w:ind w:left="283"/>
      </w:pPr>
      <w:r>
        <w:rPr>
          <w:rFonts w:ascii="Calibri" w:hAnsi="Calibri"/>
          <w:b/>
          <w:color w:val="4A6B25"/>
          <w:sz w:val="20"/>
        </w:rPr>
        <w:t xml:space="preserve">2. </w:t>
      </w:r>
      <w:r>
        <w:rPr>
          <w:rFonts w:ascii="Calibri" w:hAnsi="Calibri"/>
          <w:b w:val="0"/>
          <w:color w:val="3A4A28"/>
          <w:sz w:val="20"/>
        </w:rPr>
        <w:t>Revenue growth deceleration from 36% (Q1) to 22% (Q2) suggests the hypergrowth phase may be normalizing, and at $12.4B market cap with an 18.42% short interest, there is limited margin of safety if growth slows further [1][4]</w:t>
      </w:r>
    </w:p>
    <w:p>
      <w:pPr>
        <w:spacing w:before="40" w:after="40"/>
        <w:ind w:left="283"/>
      </w:pPr>
      <w:r>
        <w:rPr>
          <w:rFonts w:ascii="Calibri" w:hAnsi="Calibri"/>
          <w:b/>
          <w:color w:val="4A6B25"/>
          <w:sz w:val="20"/>
        </w:rPr>
        <w:t xml:space="preserve">3. </w:t>
      </w:r>
      <w:r>
        <w:rPr>
          <w:rFonts w:ascii="Calibri" w:hAnsi="Calibri"/>
          <w:b w:val="0"/>
          <w:color w:val="3A4A28"/>
          <w:sz w:val="20"/>
        </w:rPr>
        <w:t>Persistent GAAP losses with -$254M TTM net income, 270% D/E, and -67.44% ROE — one quarterly profit does not validate a sustainable earnings model, and the path from adjusted EBITDA breakeven to consistent GAAP profitability remains long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Tempus occupies a PROTECTED-to-IMMUNE position. The core diagnostics business is shielded by CLIA certification, CAP accreditation, and FDA regulatory barriers that prevent rapid commoditization by general-purpose AI companies [2]. The proprietary clinical-molecular data library — one of the world's largest — creates a compounding flywheel where more tests improve AI models, driving more adoption. However, well-capitalized rivals (Foundation Medicine/Roche, Guardant Health, Illumina) each possess significant data assets and AI capabilities, and the data moat could erode if competitors aggregate comparable datasets. Tempus uses AI but is not building foundational AI infrastructure — it applies AI to a specific domain, making it protected but not fully immune to AI platform shifts. AI Opportunity (1/1): 100% of Tempus's revenue is AI-driven. Q1 2026 Diagnostics ($261.1M) uses AI for genomic analysis, and Data &amp; Applications ($87M, +40.5%) directly monetizes AI-powered insights sold to 19 of the top 20 pharma companies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Tempus AI Q1 and Q2 2026 Earnings — Q1 Revenue $348.1M (+36%), Q2 Revenue $382.5M (+22%), Q2 Net Income $5.6M (first GAAP profit), MRD +500% YoY, FY2026 Guidance $1.595-$1.605B, ~$65M Adjusted EBITDA — BusinessWire, May-July 2026</w:t>
      </w:r>
    </w:p>
    <w:p>
      <w:pPr>
        <w:spacing w:before="20" w:after="20"/>
        <w:ind w:left="170"/>
      </w:pPr>
      <w:r>
        <w:rPr>
          <w:rFonts w:ascii="Calibri" w:hAnsi="Calibri"/>
          <w:b/>
          <w:color w:val="4A6B25"/>
          <w:sz w:val="15"/>
        </w:rPr>
        <w:t xml:space="preserve">2. </w:t>
      </w:r>
      <w:r>
        <w:rPr>
          <w:rFonts w:ascii="Calibri" w:hAnsi="Calibri"/>
          <w:b w:val="0"/>
          <w:color w:val="3A4A28"/>
          <w:sz w:val="17"/>
        </w:rPr>
        <w:t>Tempus AI CEO Eric Lefkofsky Profile, Leadership, AI Vision — Founded 2015 After Cancer Experience, 19/20 Top Pharma Partners, Company Website, Wikipedia, Seeking Alpha, 2026</w:t>
      </w:r>
    </w:p>
    <w:p>
      <w:pPr>
        <w:spacing w:before="20" w:after="20"/>
        <w:ind w:left="170"/>
      </w:pPr>
      <w:r>
        <w:rPr>
          <w:rFonts w:ascii="Calibri" w:hAnsi="Calibri"/>
          <w:b/>
          <w:color w:val="4A6B25"/>
          <w:sz w:val="15"/>
        </w:rPr>
        <w:t xml:space="preserve">3. </w:t>
      </w:r>
      <w:r>
        <w:rPr>
          <w:rFonts w:ascii="Calibri" w:hAnsi="Calibri"/>
          <w:b w:val="0"/>
          <w:color w:val="3A4A28"/>
          <w:sz w:val="17"/>
        </w:rPr>
        <w:t>Spruce Point Capital Short Report — Accounting Concerns, CEO Cash-Out Pattern, Securities Fraud Investigation, Related Party Cash Flows — Benzinga, BusinessWire, May 2025</w:t>
      </w:r>
    </w:p>
    <w:p>
      <w:pPr>
        <w:spacing w:before="20" w:after="20"/>
        <w:ind w:left="170"/>
      </w:pPr>
      <w:r>
        <w:rPr>
          <w:rFonts w:ascii="Calibri" w:hAnsi="Calibri"/>
          <w:b/>
          <w:color w:val="4A6B25"/>
          <w:sz w:val="15"/>
        </w:rPr>
        <w:t xml:space="preserve">4. </w:t>
      </w:r>
      <w:r>
        <w:rPr>
          <w:rFonts w:ascii="Calibri" w:hAnsi="Calibri"/>
          <w:b w:val="0"/>
          <w:color w:val="3A4A28"/>
          <w:sz w:val="17"/>
        </w:rPr>
        <w:t>StockAnalysis — TEM Key Statistics: Market Cap $12.36B, D/E 270%, ROE -67.44%, Gross Margin 63.98%, Short Interest 18.42%, Avg Volume 9.55M, Stock Price $68.48,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