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TEVA</w:t>
      </w:r>
      <w:r>
        <w:rPr>
          <w:rFonts w:ascii="Calibri" w:hAnsi="Calibri"/>
          <w:b/>
          <w:color w:val="1A2010"/>
          <w:sz w:val="40"/>
        </w:rPr>
        <w:t xml:space="preserve">  Teva Pharmaceutical Industries Limited</w:t>
      </w:r>
    </w:p>
    <w:p>
      <w:pPr>
        <w:spacing w:after="120"/>
      </w:pPr>
      <w:r>
        <w:rPr>
          <w:rFonts w:ascii="Calibri" w:hAnsi="Calibri"/>
          <w:b/>
          <w:color w:val="6E8450"/>
          <w:sz w:val="18"/>
        </w:rPr>
        <w:t>GROWTH SLEEVE · 2026-10-13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NYQ · Israel</w:t>
      </w:r>
    </w:p>
    <w:p>
      <w:pPr>
        <w:spacing w:after="80"/>
      </w:pPr>
      <w:r>
        <w:rPr>
          <w:rFonts w:ascii="Calibri" w:hAnsi="Calibri"/>
          <w:b w:val="0"/>
          <w:color w:val="3A4A28"/>
          <w:sz w:val="20"/>
        </w:rPr>
        <w:t>Teva Pharmaceutical Industries develops, manufactures, and distributes generic and branded pharmaceutical products globally. The world's largest generic drugmaker by volume with TTM revenue of $17.3B, Teva is pivoting toward innovative medicines under CEO Richard Francis, with key growth drivers AUSTEDO (tardive dyskinesia/Huntington's), AJOVY (migraine prevention), and UZEDY (schizophrenia) growing combined revenue 43% YoY in Q2 2026. Founded in 1901 and headquartered in Tel Aviv-Yafo, Israel, the company carries $16.9B in debt and faces ongoing opioid settlement obligations.</w:t>
      </w:r>
    </w:p>
    <w:p>
      <w:r>
        <w:rPr>
          <w:rFonts w:ascii="Calibri" w:hAnsi="Calibri"/>
          <w:b/>
          <w:color w:val="6E8450"/>
          <w:sz w:val="18"/>
        </w:rPr>
        <w:t>31,173 Employees · https://www.tevapharm.com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Teva has executed a meaningful strategic pivot from pure generics to innovative medicines over the past 5 years, launching AUSTEDO for tardive dyskinesia and Huntington's, AJOVY for migraine prevention, and UZEDY for schizophrenia — three branded products that collectively grew 43% YoY in Q2 2026 [1]. The acquisition of Emalex and partnership with Sanofi on duvakitug (anti-TL1A for IBD) extend the pipeline. However, generics still dominate revenue at $8B+ annually, and the transformation is incremental rather than paradigm-shifting. AI Deployment (1/2): CEO Francis cited an AI partnership that cut drug development timelines from four years to two, but no specific AI-powered products are shipping to customers and no quantified cost savings were disclosed beyond this claim [3]. Market Share (1/2): Teva is the world's largest generic pharmaceutical company by volume with over $8B in annual generic revenue, but global generics revenue fell 15% in Q2 2026 due to declining generic Revlimid sales [1]. In innovative medicines, Teva remains a small player competing against Abbvie, Bristol-Myers Squibb, and Neurocrine in its key CNS categories. Product Pipeline (1/2): The pipeline includes duvakitug (anti-TL1A for IBD, Phase 3 with Sanofi), olanzapine LAI for schizophrenia, and additional CNS candidates from the Emalex acquisition, but specific launch timelines and revenue visibility are limited beyond near-term labels [3][6]. R&amp;D Intensity (1/1): R&amp;D investment is above average for generic pharmaceutical peers as Teva funds both ANDA filings for generics and clinical trials for innovative medicines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Teva's stated purpose — improving the health of the people we serve, globally, one person at a time — identifies what the company does and for whom, but is interchangeable with virtually any pharmaceutical company and does not articulate a deeper purpose beyond the obvious [3]. The mission does not differentiate Teva from generic or branded pharma peers. Community Impact (1/2): Teva provides patient assistance programs and has historically contributed to generic drug access in developing markets, which aligns with healthcare affordability. However, no specific charitable programs with quantified dollar amounts or measurable community impact were identified in research [5]. Employee Retention (0/2): Teva underwent massive restructuring from 57,000 to 31,173 employees over the past decade, and has cycled through four CEOs in that period — Vigodman, Schultz, Peterburg (interim), and now Francis — creating organizational instability that undermines long-term retention claims. No voluntary turnover data available. Insider Buying (0/2): No evidence of meaningful net insider buying by CEO Francis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seven metrics. Forward P/E of 13.4 is well below the 20 target (score 1.0), and PEG of 0.71 is below the 1.0 target (score 1.0, 2x weight), reflecting attractive valuation relative to expected earnings recovery [1]. ROE of 9.7% falls between floor and target (score 0.65, 2x weight), constrained by the heavy debt load. D/E of 217.8% is elevated versus the 70% target (score 0.36), reflecting $16.9B in total debt from the Actavis acquisition legacy. Revenue growth YoY of -0.8% scores 0.64, as Q2 2026 revenue of $4.1B declined 1% due to generic Revlimid headwinds offsetting innovative portfolio gains [1]. Estimated 5yr revenue CAGR of ~2% scores 0.47 (2x weight). Profit margin of 4.1% scores 0.20, depressed by the $724M Emalex charge and opioid settlement expenses. Weighted sum 6.43 / max 10.0 = 6.43, rounded to 6. Daily dollar volume of $225.6M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Teva operates with a fundamentally finite mindset — the company has been in perpetual turnaround mode for a decade, cycling through four CEOs, restructuring from 57,000 to 31,000 employees, and managing the fallout from the disastrous $40.5B Actavis acquisition and opioid litigation. CEO Francis is executing a credible strategic pivot toward innovative medicines, but this is a survival-driven transformation rather than a cause-driven evolution. The company's competitive language focuses on market share and cost leadership rather than purpose-driven 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Teva's stated purpose of improving global health one person at a time is a shallow, boilerplate pharmaceutical mission that does not differentiate from any peer company [3]. The mission does not shape strategic decisions — the Actavis acquisition was driven by financial engineering (debt-funded market share), not purpose, and the current innovative pivot is driven by generic Revlimid decline necessity rather than a deeper calling. No evidence that leadership references the mission in strategic decisions or that it influences organizational behavior.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Teva's organizational history is one of chronic instability — four CEO changes in a decade (Vigodman, Schultz, Peterburg interim, Francis), massive workforce reduction from 57,000 to 31,173 employees, and repeated restructuring waves that have created an environment antithetical to Sinek's Circle of Safety [4]. Employees navigating constant reorganization and leadership turnover are protecting themselves rather than advancing a cause. No evidence of exceptional trust, empowerment, or cultural practices distinguishing Teva from troubled pharmaceutical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Teva's leadership acknowledging competitors' strengths or framing competition as motivation for self-improvement. Competitive positioning emphasizes cost leadership in generics and market share capture in innovative medicines — a finite 'winning' orientation rather than infinite-minded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Teva is incrementally evolving its business model from pure generics toward innovative medicines, with branded drugs (AUSTEDO, AJOVY, UZEDY) growing 43% and becoming an increasingly material revenue contributor [1][6]. The Sanofi partnership on duvakitug and Emalex acquisition extend the innovative pipeline. However, this is an incremental adaptation driven by competitive necessity (generic Revlimid cliff, commoditization of generics) rather than a transformative cause-driven pivot. Teva has not abandoned its generic business — it remains an $8B+ operation.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Francis accepted $2.6B in opioid settlement exposure rather than prolonging litigation indefinitely, and is investing in the innovative pipeline despite near-term margin pressure from the transition [4][1]. The Emalex acquisition during a period of financial pressure shows willingness to prioritize long-term capability. However, much of the current strategy is reactive — driven by the Actavis debt burden, opioid liability, and generic Revlimid cliff — rather than proactive investment choices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Teva at $41.17 with a $48B market cap is a pharmaceutical turnaround story trading at an attractive 13.4x forward earnings and 0.71x PEG as the company pivots from generic drug dependence toward innovative medicines [1][6]. The branded portfolio — AUSTEDO, AJOVY, and UZEDY — grew combined revenue 43% YoY in Q2 2026, and management raised 2026 revenue guidance to $16.5-16.85B with adjusted EPS of $1.91-$2.11. The Sanofi partnership on duvakitug (anti-TL1A for IBD) represents a potential blockbuster pipeline asset, while free cash flow rose 31% in Q2 2026 as operational efficiency improves under CEO Francis's restructuring.</w:t>
      </w:r>
    </w:p>
    <w:p>
      <w:pPr>
        <w:spacing w:after="120"/>
      </w:pPr>
      <w:r>
        <w:rPr>
          <w:rFonts w:ascii="Calibri" w:hAnsi="Calibri"/>
          <w:b w:val="0"/>
          <w:color w:val="3A4A28"/>
          <w:sz w:val="20"/>
        </w:rPr>
        <w:t>The bear case centers on execution risk and legacy liabilities. D/E of 218% reflects $16.9B in debt from the catastrophic $40.5B Actavis acquisition, and opioid settlement obligations of up to $2.6B create ongoing cash drain [4]. Global generics revenue fell 15% in Q2 2026 as generic Revlimid sales declined, and total revenue is essentially flat YoY despite the innovative growth, suggesting the generic business is declining faster than branded products can compensate [1]. GAAP profitability remains elusive — Teva posted a $576M net loss in Q2 2026 following a $724M Emalex-related charge. The company's 4.1% profit margin is anemic for pharma. With four CEOs in a decade and headcount cut nearly in half, organizational fatigue from perpetual restructuring may limit the company's ability to execute the innovation pivot against better-funded competitors like Abbvie, Neurocrine, and Bristol-Myers Squibb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Innovative medicines portfolio scaling — AUSTEDO, AJOVY, and UZEDY combined revenue growing 43% YoY with AUSTEDO alone expanding U.S. sales 33-37% in Q2 2026, on track to collectively offset generic revenue declines [1]</w:t>
      </w:r>
    </w:p>
    <w:p>
      <w:pPr>
        <w:spacing w:before="40" w:after="40"/>
        <w:ind w:left="283"/>
      </w:pPr>
      <w:r>
        <w:rPr>
          <w:rFonts w:ascii="Calibri" w:hAnsi="Calibri"/>
          <w:b/>
          <w:color w:val="4A6B25"/>
          <w:sz w:val="20"/>
        </w:rPr>
        <w:t xml:space="preserve">2. </w:t>
      </w:r>
      <w:r>
        <w:rPr>
          <w:rFonts w:ascii="Calibri" w:hAnsi="Calibri"/>
          <w:b w:val="0"/>
          <w:color w:val="3A4A28"/>
          <w:sz w:val="20"/>
        </w:rPr>
        <w:t>Duvakitug pipeline optionality — Phase 3 anti-TL1A antibody for IBD partnered with Sanofi represents potential blockbuster opportunity in a large addressable market, with data readouts expected to catalyze revaluation [3][6]</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 at 13.4x forward earnings and 0.71 PEG, Teva trades at a substantial discount to pharma peers, with the successful innovation pivot expected to drive multiple expansion as branded revenue becomes a larger share of the mix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 burden of $16.9B (D/E 218%) from the Actavis acquisition limits financial flexibility, with opioid settlement obligations of up to $2.6B creating additional cash drain and potential for adverse legal outcomes in ongoing appeals [4]</w:t>
      </w:r>
    </w:p>
    <w:p>
      <w:pPr>
        <w:spacing w:before="40" w:after="40"/>
        <w:ind w:left="283"/>
      </w:pPr>
      <w:r>
        <w:rPr>
          <w:rFonts w:ascii="Calibri" w:hAnsi="Calibri"/>
          <w:b/>
          <w:color w:val="4A6B25"/>
          <w:sz w:val="20"/>
        </w:rPr>
        <w:t xml:space="preserve">2. </w:t>
      </w:r>
      <w:r>
        <w:rPr>
          <w:rFonts w:ascii="Calibri" w:hAnsi="Calibri"/>
          <w:b w:val="0"/>
          <w:color w:val="3A4A28"/>
          <w:sz w:val="20"/>
        </w:rPr>
        <w:t>Generic Revlimid revenue cliff — global generics revenue fell 15% in Q2 2026 as this key exclusivity expires, and the generics business broadly faces commoditization pressure that may decline faster than innovative products can compensate [1]</w:t>
      </w:r>
    </w:p>
    <w:p>
      <w:pPr>
        <w:spacing w:before="40" w:after="40"/>
        <w:ind w:left="283"/>
      </w:pPr>
      <w:r>
        <w:rPr>
          <w:rFonts w:ascii="Calibri" w:hAnsi="Calibri"/>
          <w:b/>
          <w:color w:val="4A6B25"/>
          <w:sz w:val="20"/>
        </w:rPr>
        <w:t xml:space="preserve">3. </w:t>
      </w:r>
      <w:r>
        <w:rPr>
          <w:rFonts w:ascii="Calibri" w:hAnsi="Calibri"/>
          <w:b w:val="0"/>
          <w:color w:val="3A4A28"/>
          <w:sz w:val="20"/>
        </w:rPr>
        <w:t>Organizational execution risk from a decade of instability — four CEO transitions, workforce cut from 57,000 to 31,000, and perpetual restructuring have created fatigue that may impair the innovation pivot against better-capitalized pharmaceutical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Teva's core business — manufacturing and distributing physical pharmaceutical products — requires FDA-regulated facilities, ANDA filings, complex chemistry and bioequivalence studies, and global supply chain infrastructure that AI structurally cannot replicate [3]. Generic drug manufacturing involves physical pill production, sterile injectable processing, and regulatory compliance that remain human- and capital-intensive. Innovative medicines development (AUSTEDO, AJOVY, UZEDY) requires clinical trials, patent protection, and physician relationships that AI tools support but cannot substitute. However, AI is accelerating drug discovery for competitors, potentially reducing time-to-market advantages in both generics and branded drugs — though this is incremental competitive pressure rather than business model disruption. AI Opportunity (0/1): No quantified AI revenue. CEO Francis mentioned an AI partnership for drug development acceleration, but no specific AI products or AI-driven revenue streams exist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Teva Q2 2026 Earnings — Revenue $4.1B (-1% YoY), Innovative Medicines +43%, Generics -15%, 2026 Guidance Raised to $16.5-16.85B — Nasdaq/Zacks, July 2026</w:t>
      </w:r>
    </w:p>
    <w:p>
      <w:pPr>
        <w:spacing w:before="20" w:after="20"/>
        <w:ind w:left="170"/>
      </w:pPr>
      <w:r>
        <w:rPr>
          <w:rFonts w:ascii="Calibri" w:hAnsi="Calibri"/>
          <w:b/>
          <w:color w:val="4A6B25"/>
          <w:sz w:val="15"/>
        </w:rPr>
        <w:t xml:space="preserve">2. </w:t>
      </w:r>
      <w:r>
        <w:rPr>
          <w:rFonts w:ascii="Calibri" w:hAnsi="Calibri"/>
          <w:b w:val="0"/>
          <w:color w:val="3A4A28"/>
          <w:sz w:val="17"/>
        </w:rPr>
        <w:t>Teva Q1 2026 Earnings — Revenue $3.98B (+2% YoY in USD), Innovative Portfolio Growth — OpenCapital, April 2026</w:t>
      </w:r>
    </w:p>
    <w:p>
      <w:pPr>
        <w:spacing w:before="20" w:after="20"/>
        <w:ind w:left="170"/>
      </w:pPr>
      <w:r>
        <w:rPr>
          <w:rFonts w:ascii="Calibri" w:hAnsi="Calibri"/>
          <w:b/>
          <w:color w:val="4A6B25"/>
          <w:sz w:val="15"/>
        </w:rPr>
        <w:t xml:space="preserve">3. </w:t>
      </w:r>
      <w:r>
        <w:rPr>
          <w:rFonts w:ascii="Calibri" w:hAnsi="Calibri"/>
          <w:b w:val="0"/>
          <w:color w:val="3A4A28"/>
          <w:sz w:val="17"/>
        </w:rPr>
        <w:t>Teva CEO Richard Francis Strategy — Innovation Pivot, AI in Drug Development, Generics as $8B+ Cash Engine — CEOInterviews/TevaPharma, 2026</w:t>
      </w:r>
    </w:p>
    <w:p>
      <w:pPr>
        <w:spacing w:before="20" w:after="20"/>
        <w:ind w:left="170"/>
      </w:pPr>
      <w:r>
        <w:rPr>
          <w:rFonts w:ascii="Calibri" w:hAnsi="Calibri"/>
          <w:b/>
          <w:color w:val="4A6B25"/>
          <w:sz w:val="15"/>
        </w:rPr>
        <w:t xml:space="preserve">4. </w:t>
      </w:r>
      <w:r>
        <w:rPr>
          <w:rFonts w:ascii="Calibri" w:hAnsi="Calibri"/>
          <w:b w:val="0"/>
          <w:color w:val="3A4A28"/>
          <w:sz w:val="17"/>
        </w:rPr>
        <w:t>Teva Opioid Litigation — NY Jury Verdict, $2.6B Settlement Exposure, Misleading Marketing Allegations — BusinessInsurance/PharmaLive, 2021-2022</w:t>
      </w:r>
    </w:p>
    <w:p>
      <w:pPr>
        <w:spacing w:before="20" w:after="20"/>
        <w:ind w:left="170"/>
      </w:pPr>
      <w:r>
        <w:rPr>
          <w:rFonts w:ascii="Calibri" w:hAnsi="Calibri"/>
          <w:b/>
          <w:color w:val="4A6B25"/>
          <w:sz w:val="15"/>
        </w:rPr>
        <w:t xml:space="preserve">5. </w:t>
      </w:r>
      <w:r>
        <w:rPr>
          <w:rFonts w:ascii="Calibri" w:hAnsi="Calibri"/>
          <w:b w:val="0"/>
          <w:color w:val="3A4A28"/>
          <w:sz w:val="17"/>
        </w:rPr>
        <w:t>Teva ESG Profile — Sustainalytics ESG Risk Rating 22.3 (Medium Risk), Nature Benchmark 30.2/100 — Ethical.org.au, 2025</w:t>
      </w:r>
    </w:p>
    <w:p>
      <w:pPr>
        <w:spacing w:before="20" w:after="20"/>
        <w:ind w:left="170"/>
      </w:pPr>
      <w:r>
        <w:rPr>
          <w:rFonts w:ascii="Calibri" w:hAnsi="Calibri"/>
          <w:b/>
          <w:color w:val="4A6B25"/>
          <w:sz w:val="15"/>
        </w:rPr>
        <w:t xml:space="preserve">6. </w:t>
      </w:r>
      <w:r>
        <w:rPr>
          <w:rFonts w:ascii="Calibri" w:hAnsi="Calibri"/>
          <w:b w:val="0"/>
          <w:color w:val="3A4A28"/>
          <w:sz w:val="17"/>
        </w:rPr>
        <w:t>Teva Transformation Analysis — Generic Leader to Innovation Powerhouse, Pipeline and Valuation — TradingView,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