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TEX</w:t>
      </w:r>
      <w:r>
        <w:rPr>
          <w:rFonts w:ascii="Calibri" w:hAnsi="Calibri"/>
          <w:b/>
          <w:color w:val="1A2010"/>
          <w:sz w:val="40"/>
        </w:rPr>
        <w:t xml:space="preserve">  Terex Corporation</w:t>
      </w:r>
    </w:p>
    <w:p>
      <w:pPr>
        <w:spacing w:after="120"/>
      </w:pPr>
      <w:r>
        <w:rPr>
          <w:rFonts w:ascii="Calibri" w:hAnsi="Calibri"/>
          <w:b/>
          <w:color w:val="6E8450"/>
          <w:sz w:val="18"/>
        </w:rPr>
        <w:t>GROWTH SLEEVE · 2026-09-14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Farm &amp; Heavy Construction Machinery · NYSE · United States</w:t>
      </w:r>
    </w:p>
    <w:p>
      <w:pPr>
        <w:spacing w:after="80"/>
      </w:pPr>
      <w:r>
        <w:rPr>
          <w:rFonts w:ascii="Calibri" w:hAnsi="Calibri"/>
          <w:b w:val="0"/>
          <w:color w:val="3A4A28"/>
          <w:sz w:val="20"/>
        </w:rPr>
        <w:t>Terex Corporation manufactures industrial equipment across four segments: Materials Processing (crushers, screens, washing systems), Aerials (aerial work platforms and telehandlers under the Genie brand), Environmental Solutions (refuse collection, recycling equipment, utility equipment including ZenRobotics AI waste sorting), and Specialty Vehicles (fire &amp; rescue, refuse, bus via REV Group acquisition February 2026). Q2 2026 revenue of $2.24B (+8.5% pro forma) beat consensus, with raised full-year guidance to $7.9-8.2B revenue and $960M-$1B EBITDA. Purpose: 'To help improve the lives of people around the world.' Founded in 1933, headquartered in Norwalk, Connecticut.</w:t>
      </w:r>
    </w:p>
    <w:p>
      <w:r>
        <w:rPr>
          <w:rFonts w:ascii="Calibri" w:hAnsi="Calibri"/>
          <w:b/>
          <w:color w:val="6E8450"/>
          <w:sz w:val="18"/>
        </w:rPr>
        <w:t>17,000 Employees · https://www.terex.com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Terex executed two transformative acquisitions — the $2B Environmental Solutions Group from Dover Corporation (October 2024) and the $2B REV Group (February 2026), nearly doubling revenue to a guided $7.9-8.2B [1][2]. Both acquisitions are performing above their original business cases, with Q2 revenue of $2.24B growing 8.5% pro forma (+50.5% reported) and management raising full-year guidance [2]. 89% of product portfolios now offer alternative power options [4]. AI Deployment (1/2): Terex acquired ZenRobotics (AI-powered robotic waste sorting) and operates Connected Collections and Soft-Pak hauler software platforms, demonstrating measurable AI integration in the Environmental Solutions segment, though specific AI revenue is not broken out [5]. Market Share (1/2): Terex holds #2 global position in aerial work platforms (Genie brand behind JLG/Oshkosh) and the REV Group acquisition adds leading positions in fire apparatus and refuse vehicles. Meaningful player across multiple industrial categories [2]. Pipeline (1/2): Raised FY2026 guidance to $7.9-8.2B revenue, $960M-$1B EBITDA, $4.70-5.10 EPS with better visibility from backlog and continued synergy gains. REV Group synergies of $75M run-rate targeted by 2028 [2]. R&amp;D Intensity (1/1): ZenRobotics AI sorting, alternative power platforms, Connected Collections IoT, and Soft-Pak fleet management demonstrate above-average R&amp;D commitment for an industrial equipment manufacturer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Terex's purpose — 'To help improve the lives of people around the world' — is specific, service-oriented, and connects equipment manufacturing to human impact beyond profit [3]. The Terex Way Values (Integrity, Respect, Improvement, Servant Leadership, Courage, Citizenship) are distinctive, particularly Servant Leadership which is actively championed by CEO Meester and cited by employees as a genuine cultural differentiator [3]. The $2B ESG acquisition and 89% alternative power transition demonstrate strategic decisions traceable to this purpose. Community Impact (1/2): Terex maintains nine D&amp;I affinity groups, a zero-harm safety culture with Total Recordable Incident Rate significantly improved over five years, and publishes sustainability reports with environmental commitments including electrification across product lines [4]. General corporate responsibility without distinctive charitable scale. Employee Retention (1/2): Glassdoor rating of 3.6/5 across 969 reviews is solid for an industrial manufacturer, with multiple employees positively citing Servant Leadership culture and the Terex Way Values [3]. Some reviews note disconnected executive leadership and constant reorganization. Insider Buying (1/2): Director Sandra O'Connor purchased 3,760 shares ($270K) on June 30, 2026, demonstrating board-level conviction [6]. President of Aerials Joshua Gross sold 5,874 shares ($361K) in May 2026. Net insider activity roughly balanced with a specific named board-level purchase.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results. Q2 2026 revenue of $2.24B beat consensus ($2.13B), growing 8.5% pro forma (+50.5% reported including REV), with adjusted EBITDA of $269M (+10.7%, 12.0% margin) showing margin expansion from synergies [2]. Forward P/E of 12.16x on $4.90 midpoint EPS guidance is well below the 20x target, and estimated PEG of ~0.75 (based on 16.2% EPS growth forecast) scores maximum at 2x weight [7]. D/E improved to 55% as the REV merger equity offset acquisition debt, scoring 1.0 [7]. ROE of 4.21% is below the 15% target, temporarily depressed by GAAP merger costs and the enlarged equity base (forecast to recover to 20.6% in 3 years) [7]. GAAP profit margin of 2.23% is thin, reflecting purchase price amortization and integration expenses — adjusted EBITDA margin of 12.0% better reflects operational profitability [2]. 5-year revenue CAGR of ~12% includes the merger step-change and scores maximum at 2x weight. Liquidity: ~1,951,000 avg volume x ~$59.60 = ~$116M daily — easily clears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Terex demonstrates meaningful infinite-game characteristics — a 93-year operating history, the distinctive 'Terex Way' values centered on Servant Leadership, and two transformative $2B acquisitions that reposition the company for sustainable growth. The purpose 'to help improve the lives of people around the world' provides genuine strategic direction, and the raised FY2026 guidance after Q2 validates execution. However, competitive language remains focused on financial metrics rather than cause-driven advancement, and the rapid acquisition pace introduces integration risk that could test long-term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Terex's purpose — 'To help improve the lives of people around the world' — paired with the Terex Way Values (particularly Servant Leadership) provides a distinctive and genuine cause connecting equipment manufacturing to human impact [3]. The $2B ESG acquisition (sustainability-oriented waste management) and 89% alternative power transition are strategic decisions traceable to this purpose. The cause is partially lived through specific actions but hasn't been tested through multi-decade crisis. CEO Meester has been in the role since January 2024 — too early to confirm the values framework will survive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3.6/5 across 969 reviews is above-average for industrial manufacturing, and multiple employees positively cite Servant Leadership as a genuine cultural strength actively championed by CEO Meester [3]. Nine D&amp;I affinity groups and zero-harm safety culture demonstrate institutional investment in employee wellbeing [4]. However, some Glassdoor reviews cite disconnected executive leadership, constant reorganization, and insufficient innovation support, suggesting trust is not uniformly experienced across the 17,000-employee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Terex management's earnings commentary focuses on bookings growth, synergy targets, margin expansion, and market position — financial metrics rather than competitive learning [2]. The company competes against Caterpillar, JLG/Oshkosh, Komatsu, and specialty vehicle peers, but the competitive framing centers on capturing market share and financial outperformance rather than acknowledging rivals' strengths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Two transformative $2B acquisitions in consecutive years — Environmental Solutions Group (October 2024) and REV Group (February 2026) — fundamentally reinvented Terex from a two-segment aerial/processing equipment company into a diversified four-segment industrial conglomerate with $7.9-8.2B in guided revenue [1][2]. Both acquisitions are performing above original business cases. The addition of waste management, recycling, utility equipment, fire apparatus, refuse vehicles, and buses represents dramatic expansion into adjacent physical-world markets. The 89% alternative power transition further demonstrates willingness to evolve the core product offering.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Meester showed courage executing two $2B acquisitions within his first two years, nearly doubling the company and raising FY2026 guidance to $7.9-8.2B revenue with $960M-$1B EBITDA despite tariff headwinds [2]. Free cash flow guidance of $300-350M provides capital for deleveraging. However, whether this represents visionary courage or aggressive empire-building will only be validated through execution of the $75M synergy run-rate and sustained margin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Terex is a 93-year industrial manufacturer executing a transformative expansion through dual $2B acquisitions — Environmental Solutions Group (October 2024) and REV Group (February 2026). Q2 2026 validated the thesis: revenue of $2.24B beat consensus by $110M (+8.5% pro forma), adjusted EPS of $1.37 beat by $0.12, and adjusted EBITDA of $269M (+10.7%) expanded margins to 12.0% from 9.9% in Q1, demonstrating synergy realization [2]. Management raised full-year guidance to $7.9-8.2B revenue, $960M-$1B EBITDA, and $4.70-5.10 EPS, reflecting strong execution and improving visibility [2]. Forward P/E of 12.16x and estimated PEG of ~0.75x offer attractive valuation for a company with $300-350M guided free cash flow and a $6.9B backlog providing 3.4 quarters of revenue visibility [7]. ZenRobotics AI waste sorting and 89% alternative power portfolio provide technology differentiation within a business structurally immune to AI disruption [5].</w:t>
      </w:r>
    </w:p>
    <w:p>
      <w:pPr>
        <w:spacing w:after="120"/>
      </w:pPr>
      <w:r>
        <w:rPr>
          <w:rFonts w:ascii="Calibri" w:hAnsi="Calibri"/>
          <w:b w:val="0"/>
          <w:color w:val="3A4A28"/>
          <w:sz w:val="20"/>
        </w:rPr>
        <w:t>The bear case centers on integration risk and cyclical exposure. While D/E improved to 55%, the company carries significant acquisition-related debt that requires consistent free cash flow to service — failure to achieve the $75M synergy run-rate by 2028 would pressure margins already thin at 2.23% GAAP (depressed by purchase price amortization) [7]. ROE of 4.21% is temporarily depressed by the enlarged equity base but forecast to recover to 20.6% in 3 years — the thesis depends on this recovery materializing. Backlog declined sequentially from $7.1B (Q1) to $6.9B (Q2) despite growing 3.9% YoY, suggesting bookings pace is normalizing after the acquisition-fueled surge; Materials Processing book-to-bill was only 101% [2]. Tariff headwinds compressed EBITDA margins in Q1 by 50bps, and further trade policy escalation across Terex's global supply chain could materially impact profitability [1]. Terex's heavy construction, materials processing, and specialty vehicle markets are cyclical — the 2.23% GAAP profit margin provides minimal buffer in a downturn.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 Group and ESG acquisition synergy realization — EBITDA margin expanded from 9.9% (Q1) to 12.0% (Q2) with raised guidance to $960M-$1B full-year EBITDA, and both acquisitions performing above original business cases validate the transformative strategy [2]</w:t>
      </w:r>
    </w:p>
    <w:p>
      <w:pPr>
        <w:spacing w:before="40" w:after="40"/>
        <w:ind w:left="283"/>
      </w:pPr>
      <w:r>
        <w:rPr>
          <w:rFonts w:ascii="Calibri" w:hAnsi="Calibri"/>
          <w:b/>
          <w:color w:val="4A6B25"/>
          <w:sz w:val="20"/>
        </w:rPr>
        <w:t xml:space="preserve">2. </w:t>
      </w:r>
      <w:r>
        <w:rPr>
          <w:rFonts w:ascii="Calibri" w:hAnsi="Calibri"/>
          <w:b w:val="0"/>
          <w:color w:val="3A4A28"/>
          <w:sz w:val="20"/>
        </w:rPr>
        <w:t>Backlog conversion — $6.9B backlog representing 3.4 quarters of revenue visibility supports the $7.9-8.2B guidance and provides downside protection against macro softening [2]</w:t>
      </w:r>
    </w:p>
    <w:p>
      <w:pPr>
        <w:spacing w:before="40" w:after="40"/>
        <w:ind w:left="283"/>
      </w:pPr>
      <w:r>
        <w:rPr>
          <w:rFonts w:ascii="Calibri" w:hAnsi="Calibri"/>
          <w:b/>
          <w:color w:val="4A6B25"/>
          <w:sz w:val="20"/>
        </w:rPr>
        <w:t xml:space="preserve">3. </w:t>
      </w:r>
      <w:r>
        <w:rPr>
          <w:rFonts w:ascii="Calibri" w:hAnsi="Calibri"/>
          <w:b w:val="0"/>
          <w:color w:val="3A4A28"/>
          <w:sz w:val="20"/>
        </w:rPr>
        <w:t>Alternative power and AI — 89% of portfolio offering alternative power options and ZenRobotics AI waste sorting position Terex for infrastructure modernization and sustainability-driven government spending, including potential Infrastructure Investment and Jobs Act demand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 dual $2B acquisitions in 16 months require flawless execution of the $75M synergy run-rate; GAAP profit margin of 2.23% and ROE of 4.21% reflect merger dilution that must normalize for the thesis to work [7]</w:t>
      </w:r>
    </w:p>
    <w:p>
      <w:pPr>
        <w:spacing w:before="40" w:after="40"/>
        <w:ind w:left="283"/>
      </w:pPr>
      <w:r>
        <w:rPr>
          <w:rFonts w:ascii="Calibri" w:hAnsi="Calibri"/>
          <w:b/>
          <w:color w:val="4A6B25"/>
          <w:sz w:val="20"/>
        </w:rPr>
        <w:t xml:space="preserve">2. </w:t>
      </w:r>
      <w:r>
        <w:rPr>
          <w:rFonts w:ascii="Calibri" w:hAnsi="Calibri"/>
          <w:b w:val="0"/>
          <w:color w:val="3A4A28"/>
          <w:sz w:val="20"/>
        </w:rPr>
        <w:t>Tariff and trade policy exposure — Q1 EBITDA margin declined 50bps due to tariffs, and further escalation across Terex's global supply chain (manufacturing in US, Europe, Asia) could materially impact profitability without ability to fully pass through costs [1]</w:t>
      </w:r>
    </w:p>
    <w:p>
      <w:pPr>
        <w:spacing w:before="40" w:after="40"/>
        <w:ind w:left="283"/>
      </w:pPr>
      <w:r>
        <w:rPr>
          <w:rFonts w:ascii="Calibri" w:hAnsi="Calibri"/>
          <w:b/>
          <w:color w:val="4A6B25"/>
          <w:sz w:val="20"/>
        </w:rPr>
        <w:t xml:space="preserve">3. </w:t>
      </w:r>
      <w:r>
        <w:rPr>
          <w:rFonts w:ascii="Calibri" w:hAnsi="Calibri"/>
          <w:b w:val="0"/>
          <w:color w:val="3A4A28"/>
          <w:sz w:val="20"/>
        </w:rPr>
        <w:t>Cyclical exposure — heavy construction, materials processing, and specialty vehicle demand is sensitive to economic cycles, interest rates, and government infrastructure spending; backlog declining sequentially from $7.1B to $6.9B suggests bookings are normalizing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Terex's core business — manufacturing physical heavy equipment including aerial work platforms, crushers, waste collection vehicles, fire apparatus, and utility equipment — is structurally immune to AI substitution [5]. These products require steel fabrication, hydraulic systems, assembly, and field service that AI cannot replicate. Regulatory environments (OSHA, EPA, DOT) and physical infrastructure requirements create additional barriers. The REV Group addition of fire trucks, refuse vehicles, and buses further deepens the physical-world moat. However, AI-driven autonomous equipment development by competitors (Caterpillar, Komatsu) could eventually pressure Terex in aerial platforms and construction equipment, preventing a score of 8+. AI Opportunity (1/1): Terex generates quantifiable revenue from AI-related products through ZenRobotics (AI-powered robotic waste sorting) and Connected Collections IoT software platform, demonstrating embedded AI revenue within the Environmental Solutions segment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Terex Q1 2026 Earnings Release — Revenue $1.734B (+41.1%), EPS $0.98 (beat $0.78), backlog $7.1B, FY2026 guidance reaffirmed; investors.terex.com, May 2026</w:t>
      </w:r>
    </w:p>
    <w:p>
      <w:pPr>
        <w:spacing w:before="20" w:after="20"/>
        <w:ind w:left="170"/>
      </w:pPr>
      <w:r>
        <w:rPr>
          <w:rFonts w:ascii="Calibri" w:hAnsi="Calibri"/>
          <w:b/>
          <w:color w:val="4A6B25"/>
          <w:sz w:val="15"/>
        </w:rPr>
        <w:t xml:space="preserve">2. </w:t>
      </w:r>
      <w:r>
        <w:rPr>
          <w:rFonts w:ascii="Calibri" w:hAnsi="Calibri"/>
          <w:b w:val="0"/>
          <w:color w:val="3A4A28"/>
          <w:sz w:val="17"/>
        </w:rPr>
        <w:t>Terex Q2 2026 Earnings Release — Revenue $2.24B (+8.5% pro forma, +50.5% reported), Adjusted EPS $1.37 (beat $1.25), EBITDA $269M (12.0% margin), Backlog $6.9B (+3.9% YoY), Raised Guidance: Revenue $7.9-8.2B, EBITDA $960M-$1B, EPS $4.70-5.10, FCF $300-350M; July 2026</w:t>
      </w:r>
    </w:p>
    <w:p>
      <w:pPr>
        <w:spacing w:before="20" w:after="20"/>
        <w:ind w:left="170"/>
      </w:pPr>
      <w:r>
        <w:rPr>
          <w:rFonts w:ascii="Calibri" w:hAnsi="Calibri"/>
          <w:b/>
          <w:color w:val="4A6B25"/>
          <w:sz w:val="15"/>
        </w:rPr>
        <w:t xml:space="preserve">3. </w:t>
      </w:r>
      <w:r>
        <w:rPr>
          <w:rFonts w:ascii="Calibri" w:hAnsi="Calibri"/>
          <w:b w:val="0"/>
          <w:color w:val="3A4A28"/>
          <w:sz w:val="17"/>
        </w:rPr>
        <w:t>Terex Purpose, Mission &amp; Values — 'To help improve the lives of people around the world,' Terex Way Values (Servant Leadership), CEO Simon Meester (since Jan 2024), Glassdoor 3.6/5; terex.com,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Terex Sustainability and ESG — $2B ESG acquisition (Oct 2024), $2B REV Group (Feb 2026), 89% alternative power portfolio, 9 D&amp;I affinity groups, zero-harm safety, TRIR improvement; terex.com, September 2026</w:t>
      </w:r>
    </w:p>
    <w:p>
      <w:pPr>
        <w:spacing w:before="20" w:after="20"/>
        <w:ind w:left="170"/>
      </w:pPr>
      <w:r>
        <w:rPr>
          <w:rFonts w:ascii="Calibri" w:hAnsi="Calibri"/>
          <w:b/>
          <w:color w:val="4A6B25"/>
          <w:sz w:val="15"/>
        </w:rPr>
        <w:t xml:space="preserve">5. </w:t>
      </w:r>
      <w:r>
        <w:rPr>
          <w:rFonts w:ascii="Calibri" w:hAnsi="Calibri"/>
          <w:b w:val="0"/>
          <w:color w:val="3A4A28"/>
          <w:sz w:val="17"/>
        </w:rPr>
        <w:t>Terex Technology Portfolio — ZenRobotics AI waste sorting, Connected Collections IoT, Soft-Pak fleet management, Genie aerial platforms, alternative power options; terex.com,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Terex Insider Trading — Director Sandra O'Connor $270K purchase (June 2026), President Gross $361K sale (May 2026); Benzinga, StockTitan, September 2026</w:t>
      </w:r>
    </w:p>
    <w:p>
      <w:pPr>
        <w:spacing w:before="20" w:after="20"/>
        <w:ind w:left="170"/>
      </w:pPr>
      <w:r>
        <w:rPr>
          <w:rFonts w:ascii="Calibri" w:hAnsi="Calibri"/>
          <w:b/>
          <w:color w:val="4A6B25"/>
          <w:sz w:val="15"/>
        </w:rPr>
        <w:t xml:space="preserve">7. </w:t>
      </w:r>
      <w:r>
        <w:rPr>
          <w:rFonts w:ascii="Calibri" w:hAnsi="Calibri"/>
          <w:b w:val="0"/>
          <w:color w:val="3A4A28"/>
          <w:sz w:val="17"/>
        </w:rPr>
        <w:t>StockAnalysis.com / Simply Wall St / Yahoo Finance — TEX: Forward P/E 12.16x, D/E 55%, ROE 4.21%, Profit Margin 2.23%, EPS Growth 16.2%/yr, avg volume 1.95M;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