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TFC</w:t>
      </w:r>
      <w:r>
        <w:rPr>
          <w:rFonts w:ascii="Calibri" w:hAnsi="Calibri"/>
          <w:b/>
          <w:color w:val="1A2010"/>
          <w:sz w:val="40"/>
        </w:rPr>
        <w:t xml:space="preserve">  Truist Financial Corporation</w:t>
      </w:r>
    </w:p>
    <w:p>
      <w:pPr>
        <w:spacing w:after="120"/>
      </w:pPr>
      <w:r>
        <w:rPr>
          <w:rFonts w:ascii="Calibri" w:hAnsi="Calibri"/>
          <w:b/>
          <w:color w:val="6E8450"/>
          <w:sz w:val="18"/>
        </w:rPr>
        <w:t>DIVIDEND SLEEVE · 2026-10-13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NYQ · United States</w:t>
      </w:r>
    </w:p>
    <w:p>
      <w:pPr>
        <w:spacing w:after="80"/>
      </w:pPr>
      <w:r>
        <w:rPr>
          <w:rFonts w:ascii="Calibri" w:hAnsi="Calibri"/>
          <w:b w:val="0"/>
          <w:color w:val="3A4A28"/>
          <w:sz w:val="20"/>
        </w:rPr>
        <w:t>Truist Financial Corporation, formed from the 2019 merger of BB&amp;T and SunTrust, is the 7th largest U.S. bank by assets, operating Consumer and Small Business Banking and Wholesale Banking segments across the Southeastern and Mid-Atlantic United States. The company reported Q2 2026 revenue of approximately $5.3B with investment banking and trading revenue surging 72% YoY, while maintaining a 4.46% dividend yield. Founded in 1872 (as BB&amp;T) and headquartered in Charlotte, North Carolina.</w:t>
      </w:r>
    </w:p>
    <w:p>
      <w:r>
        <w:rPr>
          <w:rFonts w:ascii="Calibri" w:hAnsi="Calibri"/>
          <w:b/>
          <w:color w:val="6E8450"/>
          <w:sz w:val="18"/>
        </w:rPr>
        <w:t>37,849 Employees · https://www.truist.com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Truist executed the largest U.S. bank merger since the financial crisis by combining BB&amp;T and SunTrust in December 2019, creating a $550B+ asset institution, and subsequently divested Truist Insurance Holdings for $15.5B to sharpen focus on core banking — two significant strategic transformations in five years [1]. However, these are M&amp;A-driven restructurings rather than product innovations or new market creation. AI Deployment (0/2): CEO Bill Rogers has emphasized AI for enhancing client and community experiences with risk governance, but no specific AI-powered products are shipping to customers and no quantified efficiency gains from AI have been disclosed [3]. Market Share (1/2): Truist is a meaningful player as the 7th largest U.S. bank by assets with a strong Southeastern franchise, but it is not a category leader or fastest share gainer — it competes against JPMorgan, Bank of America, and Wells Fargo in its core markets [1]. Product Pipeline (0/2): No specific next-generation products or platforms have been announced with timelines. Investment banking revenue surging 72% YoY shows capability expansion but is not a discrete product pipeline [1]. R&amp;D Intensity (0/1): Technology spending data not publicly reported separately; no evidence of above-average R&amp;D investment relative to regional banking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Truist's purpose — 'Inspire and build better lives and communities' — is clear, connects banking to community impact, and distinguishes from pure shareholder-value language [3]. However, it remains broadly interchangeable with most community-oriented bank mission statements and does not articulate a vision of a future state that inspires beyond the obvious role of banking in communities. Community Impact (1/2): Truist maintains the Truist Foundation as a community investment vehicle, continuing BB&amp;T's longstanding community banking tradition in the Southeast, but no specific program dollar amounts or measurable community impact data were identified in research [5]. Employee Retention (0/2): Truist reduced headcount from 50,000+ at the time of the merger to 37,849 employees through integration-related attrition and restructuring. No voluntary turnover or average tenure data available to evaluate mission-driven retention. Insider Buying (0/2): No evidence of meaningful net insider buying by CEO Bill Rogers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nine available metrics (D/E excluded — null for banks due to different leverage structure). Forward P/E of 9.4 is well below the 20 target (score 1.0), and profit margin of 30.7% exceeds the 20% target (score 1.0) [1]. Consecutive years paid is estimated at 40+ years through BB&amp;T's heritage since 1872 (score 1.0, 2x weight). Payout ratio of 47.8% is close to the 40% target (score 0.87). ROE of 9.1% falls between floor and target (score 0.60), reflecting post-merger capital structure. Revenue growth YoY of 8.2% approaches the 10% target (score 0.94), with Q2 2026 revenue up 5.5% and investment banking surging 72% [1]. Estimated 5yr revenue CAGR of ~0% (score 0.33), reflecting merger-related distortions and post-merger revenue normalization. Consecutive years of dividend growth estimated at 1 (score 0.10), as the $2.08 annual dividend has been flat since 2023. 5yr dividend growth CAGR of ~2% scores 0.33 (2x weight). Weighted sum 7.41 / max 11.0 = 6.74, rounded to 7. Daily dollar volume of $340.8M provides maximum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Truist is a bank in post-merger integration mode, focused on optimizing the BB&amp;T/SunTrust combination rather than advancing a compelling long-term cause. CEO Rogers has articulated a purpose-driven vision for community impact, but the company's strategic actions — divesting insurance for $15.5B, trimming headcount by 25%+, and guiding for modest 3.5-4% revenue growth — reflect a mature financial institution managing to quarterly metrics rather than building for enduring impact. The organizational disruption of merging two large bank cultures works against the trust and stability Sinek demands.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Truist's purpose of inspiring and building better lives and communities is a stated cause that goes beyond pure shareholder value, but it reads as a marketing rebranding exercise for the BB&amp;T/SunTrust merger rather than a deeply held belief that shapes strategic decisions [3]. The $15.5B insurance divestiture and ongoing cost-cutting programs are driven by financial optimization rather than purpose alignment. Leadership does not consistently reference the cause in strategic decisions, and the merger itself was motivated by scale economics rather than a vision of a better future for communities.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Truist under CEO Rogers has maintained stable senior leadership since 2021, and the organization appears to have moved past the most disruptive phase of post-merger integration [3]. However, headcount reduction from 50,000+ to 37,849 through integration-related attrition and restructuring has created organizational uncertainty antithetical to Sinek's Circle of Safety. No evidence of exceptional trust practices, empowerment culture, or employee sentiment data distinguishing Truist from regional banking peers.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Truist leadership publicly acknowledging competitors' strengths or framing competitive dynamics as motivation for self-improvement. The company's competitive positioning emphasizes its own Southeastern franchise density and scale rather than learning from rivals like JPMorgan's technology investment or Capital One's digital-first approach.</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BB&amp;T/SunTrust merger fundamentally reshaped both legacy institutions, and the subsequent $15.5B divestiture of Truist Insurance Holdings showed willingness to abandon a profitable business to focus on core banking [1]. These are meaningful strategic evolutions. However, the changes were incremental adaptations driven by competitive necessity (scale in banking, simplification of the portfolio) rather than transformative cause-driven pivots that redefined the company's identity.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Rogers steered the complex BB&amp;T/SunTrust integration while divesting the profitable insurance business for $15.5B to fund balance sheet optimization and core banking investment — a decision that sacrificed near-term diversified revenue for long-term strategic clarity [1]. However, the bulk of recent strategic decisions are defensive rather than boldly contrarian: trimming costs, guiding conservatively for 3.5-4% revenue growth, and holding the dividend flat at $2.08 since 2023 rather than investing aggressively in growth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Truist at $46.64 with a $57B market cap is a post-merger regional bank trading at an attractive 9.4x forward earnings with a 4.46% dividend yield, offering value and income in a normalizing interest rate environment [1][4]. Q2 2026 revenue grew 5.5% YoY with investment banking and trading revenue surging 72%, while non-interest income guidance was raised to ~10% growth for 2026. The $15.5B insurance divestiture has cleaned up the portfolio, and the 30.7% profit margin demonstrates strong banking economics. Earnings growth of 37% YoY and a 47.8% payout ratio provide room for dividend increases if management chooses to restart the growth streak.</w:t>
      </w:r>
    </w:p>
    <w:p>
      <w:pPr>
        <w:spacing w:after="120"/>
      </w:pPr>
      <w:r>
        <w:rPr>
          <w:rFonts w:ascii="Calibri" w:hAnsi="Calibri"/>
          <w:b w:val="0"/>
          <w:color w:val="3A4A28"/>
          <w:sz w:val="20"/>
        </w:rPr>
        <w:t>The bear case reflects limited growth and innovation headwinds. 2026 revenue guidance was trimmed to 3.5-4% from the original 4-5%, with net interest income growth of just 1-1.5% as rate cuts compress NIM [4]. The dividend has been frozen at $2.08 since 2023, yielding only ~2% five-year CAGR, suggesting management prioritizes balance sheet repair over shareholder returns. ROE of 9.1% is well below the 15% target for banks, reflecting the post-merger capital structure and ongoing integration costs. Innovation is minimal — no AI deployment, no digital differentiation, and the bank competes on geographic density rather than technological capability against better-capitalized national banks. Post-merger headcount reduction of 25%+ and organizational restructuring create employee fatigue risk that may limit execution on the remaining integration synergies [3][5].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Investment banking and capital markets expansion — Q2 2026 trading and investment banking revenue surged 72% YoY, with management raising non-interest income guidance to ~10% growth, diversifying the revenue base beyond traditional NII [1]</w:t>
      </w:r>
    </w:p>
    <w:p>
      <w:pPr>
        <w:spacing w:before="40" w:after="40"/>
        <w:ind w:left="283"/>
      </w:pPr>
      <w:r>
        <w:rPr>
          <w:rFonts w:ascii="Calibri" w:hAnsi="Calibri"/>
          <w:b/>
          <w:color w:val="4A6B25"/>
          <w:sz w:val="20"/>
        </w:rPr>
        <w:t xml:space="preserve">2. </w:t>
      </w:r>
      <w:r>
        <w:rPr>
          <w:rFonts w:ascii="Calibri" w:hAnsi="Calibri"/>
          <w:b w:val="0"/>
          <w:color w:val="3A4A28"/>
          <w:sz w:val="20"/>
        </w:rPr>
        <w:t>Dividend growth resumption — at 47.8% payout ratio with 37% earnings growth and a cleaned-up balance sheet post-insurance divestiture, Truist has significant capacity to restart dividend increases from the current $2.08 level [4]</w:t>
      </w:r>
    </w:p>
    <w:p>
      <w:pPr>
        <w:spacing w:before="40" w:after="40"/>
        <w:ind w:left="283"/>
      </w:pPr>
      <w:r>
        <w:rPr>
          <w:rFonts w:ascii="Calibri" w:hAnsi="Calibri"/>
          <w:b/>
          <w:color w:val="4A6B25"/>
          <w:sz w:val="20"/>
        </w:rPr>
        <w:t xml:space="preserve">3. </w:t>
      </w:r>
      <w:r>
        <w:rPr>
          <w:rFonts w:ascii="Calibri" w:hAnsi="Calibri"/>
          <w:b w:val="0"/>
          <w:color w:val="3A4A28"/>
          <w:sz w:val="20"/>
        </w:rPr>
        <w:t>Interest rate normalization benefiting NIM — as the Fed rate cycle stabilizes, Truist's deposit-rich Southeastern franchise should benefit from reduced deposit competition and normalized net interest margin spreads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deceleration — 2026 guidance trimmed to 3.5-4% with NII growth of only 1-1.5%, as the interest rate environment compresses margins and the post-merger revenue synergy playbook is largely exhausted [4]</w:t>
      </w:r>
    </w:p>
    <w:p>
      <w:pPr>
        <w:spacing w:before="40" w:after="40"/>
        <w:ind w:left="283"/>
      </w:pPr>
      <w:r>
        <w:rPr>
          <w:rFonts w:ascii="Calibri" w:hAnsi="Calibri"/>
          <w:b/>
          <w:color w:val="4A6B25"/>
          <w:sz w:val="20"/>
        </w:rPr>
        <w:t xml:space="preserve">2. </w:t>
      </w:r>
      <w:r>
        <w:rPr>
          <w:rFonts w:ascii="Calibri" w:hAnsi="Calibri"/>
          <w:b w:val="0"/>
          <w:color w:val="3A4A28"/>
          <w:sz w:val="20"/>
        </w:rPr>
        <w:t>Competitive displacement from digital-first banking — JPMorgan, Capital One, and fintech neobanks are investing billions in AI-powered digital banking capabilities that may erode Truist's Southeastern franchise advantage, particularly among younger demographics</w:t>
      </w:r>
    </w:p>
    <w:p>
      <w:pPr>
        <w:spacing w:before="40" w:after="40"/>
        <w:ind w:left="283"/>
      </w:pPr>
      <w:r>
        <w:rPr>
          <w:rFonts w:ascii="Calibri" w:hAnsi="Calibri"/>
          <w:b/>
          <w:color w:val="4A6B25"/>
          <w:sz w:val="20"/>
        </w:rPr>
        <w:t xml:space="preserve">3. </w:t>
      </w:r>
      <w:r>
        <w:rPr>
          <w:rFonts w:ascii="Calibri" w:hAnsi="Calibri"/>
          <w:b w:val="0"/>
          <w:color w:val="3A4A28"/>
          <w:sz w:val="20"/>
        </w:rPr>
        <w:t>Post-merger integration fatigue — headcount reduction from 50,000+ to 37,849 and ongoing systems integration create organizational strain that may impair service quality, employee morale, and the ability to attract top talent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Truist's core business — deposit-taking, lending, and trust services — operates behind significant regulatory moats including bank charter requirements, capital adequacy standards, and federal/state regulatory oversight that AI tools cannot circumvent [3]. Physical branch infrastructure across the Southeast, decades-long customer deposit relationships, and proprietary underwriting data create meaningful switching costs and defensive barriers. However, AI poses real pressure on several business lines: neobanks and fintech competitors are using AI to automate loan origination, customer service, and wealth advisory functions that currently generate fee income for Truist. Back-office operations including compliance, fraud detection, and credit underwriting face automation that could compress margins and reduce headcount needs over time. The core franchise is defensible but AI-driven competition is a growing pressure. AI Opportunity (0/1): No quantified AI revenue. CEO Rogers discussed AI aspirations for client experience enhancement but no specific AI-driven products or revenue streams have been disclosed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Truist Q2 2026 Earnings — Revenue ~$5.3B (+5.5% YoY), Investment Banking/Trading +72%, Non-Interest Income +17% — Quartr/MarketBeat, July 2026</w:t>
      </w:r>
    </w:p>
    <w:p>
      <w:pPr>
        <w:spacing w:before="20" w:after="20"/>
        <w:ind w:left="170"/>
      </w:pPr>
      <w:r>
        <w:rPr>
          <w:rFonts w:ascii="Calibri" w:hAnsi="Calibri"/>
          <w:b/>
          <w:color w:val="4A6B25"/>
          <w:sz w:val="15"/>
        </w:rPr>
        <w:t xml:space="preserve">2. </w:t>
      </w:r>
      <w:r>
        <w:rPr>
          <w:rFonts w:ascii="Calibri" w:hAnsi="Calibri"/>
          <w:b w:val="0"/>
          <w:color w:val="3A4A28"/>
          <w:sz w:val="17"/>
        </w:rPr>
        <w:t>Truist Q1 2026 Earnings — Revenue ~$5.15B (+5-6% YoY), Diluted EPS $1.09 — VectorShift/OpenCapital, April 2026</w:t>
      </w:r>
    </w:p>
    <w:p>
      <w:pPr>
        <w:spacing w:before="20" w:after="20"/>
        <w:ind w:left="170"/>
      </w:pPr>
      <w:r>
        <w:rPr>
          <w:rFonts w:ascii="Calibri" w:hAnsi="Calibri"/>
          <w:b/>
          <w:color w:val="4A6B25"/>
          <w:sz w:val="15"/>
        </w:rPr>
        <w:t xml:space="preserve">3. </w:t>
      </w:r>
      <w:r>
        <w:rPr>
          <w:rFonts w:ascii="Calibri" w:hAnsi="Calibri"/>
          <w:b w:val="0"/>
          <w:color w:val="3A4A28"/>
          <w:sz w:val="17"/>
        </w:rPr>
        <w:t>Truist CEO Bill Rogers Strategy — AI Emphasis, Client Experience, Purpose-Driven Banking — Georgia Tech Scheller/BankingExchange, 2025-2026</w:t>
      </w:r>
    </w:p>
    <w:p>
      <w:pPr>
        <w:spacing w:before="20" w:after="20"/>
        <w:ind w:left="170"/>
      </w:pPr>
      <w:r>
        <w:rPr>
          <w:rFonts w:ascii="Calibri" w:hAnsi="Calibri"/>
          <w:b/>
          <w:color w:val="4A6B25"/>
          <w:sz w:val="15"/>
        </w:rPr>
        <w:t xml:space="preserve">4. </w:t>
      </w:r>
      <w:r>
        <w:rPr>
          <w:rFonts w:ascii="Calibri" w:hAnsi="Calibri"/>
          <w:b w:val="0"/>
          <w:color w:val="3A4A28"/>
          <w:sz w:val="17"/>
        </w:rPr>
        <w:t>Truist 2026 Guidance — Revenue Growth Revised to 3.5-4%, NII Growth 1-1.5%, Non-Interest Income ~10% — Q4 2025/Q2 2026 Earnings Calls</w:t>
      </w:r>
    </w:p>
    <w:p>
      <w:pPr>
        <w:spacing w:before="20" w:after="20"/>
        <w:ind w:left="170"/>
      </w:pPr>
      <w:r>
        <w:rPr>
          <w:rFonts w:ascii="Calibri" w:hAnsi="Calibri"/>
          <w:b/>
          <w:color w:val="4A6B25"/>
          <w:sz w:val="15"/>
        </w:rPr>
        <w:t xml:space="preserve">5. </w:t>
      </w:r>
      <w:r>
        <w:rPr>
          <w:rFonts w:ascii="Calibri" w:hAnsi="Calibri"/>
          <w:b w:val="0"/>
          <w:color w:val="3A4A28"/>
          <w:sz w:val="17"/>
        </w:rPr>
        <w:t>Truist ESG and Governance — Debanking Concerns, Shareholder Proposals, Sustainalytics Rating, Climate Targets — Bowyer Research/UNPRI/SEC, 2022-2026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