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TGB</w:t>
      </w:r>
      <w:r>
        <w:rPr>
          <w:rFonts w:ascii="Calibri" w:hAnsi="Calibri"/>
          <w:b/>
          <w:color w:val="1A2010"/>
          <w:sz w:val="40"/>
        </w:rPr>
        <w:t xml:space="preserve">  Trekor Metals Limited</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Copper · ASE · Canada</w:t>
      </w:r>
    </w:p>
    <w:p>
      <w:pPr>
        <w:spacing w:after="80"/>
      </w:pPr>
      <w:r>
        <w:rPr>
          <w:rFonts w:ascii="Calibri" w:hAnsi="Calibri"/>
          <w:b w:val="0"/>
          <w:color w:val="3A4A28"/>
          <w:sz w:val="20"/>
        </w:rPr>
        <w:t>Trekor Metals Limited (formerly Taseko Mines) is a Canadian mid-tier copper producer operating the Gibraltar open-pit copper-molybdenum mine in south-central British Columbia and the Florence Copper in-situ recovery (ISCR) project in Arizona. Rebranded from Taseko Mines in June 2026. TTM revenue reached approximately $985M driven by record Q2 2026 revenue of $331M as Florence Copper ramped to commercial production alongside Gibraltar's 85,000 tpd throughput, with realized copper prices of $5.74/lb supporting strong operating cash flow of $415M [1][2].</w:t>
      </w:r>
    </w:p>
    <w:p>
      <w:r>
        <w:rPr>
          <w:rFonts w:ascii="Calibri" w:hAnsi="Calibri"/>
          <w:b/>
          <w:color w:val="6E8450"/>
          <w:sz w:val="18"/>
        </w:rPr>
        <w:t>703 Employees · https://www.trekormetals.com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Taseko successfully developed and commissioned Florence Copper, a first-of-its-kind commercial-scale in-situ copper recovery project in Arizona, which delivered its first full production quarter in Q2 2026 contributing to record revenue of $331M and $125M adjusted EBITDA [2]. Gibraltar simultaneously pushed throughput to record 85,000 tpd levels, demonstrating operational execution across both assets. AI Deployment (0/2): No AI-powered products or quantified AI-driven cost savings are evident; mining operations rely on standard process automation and sensor-based ore sorting (MineSense partnership) but nothing AI-specific has been deployed or reported [3]. Market Share (0/2): Combined Gibraltar (110-115M lbs target) and Florence (30-35M lbs target) output positions Trekor as a mid-cap North American copper producer but not a global category leader — total production is modest versus Freeport-McMoRan's 4B+ lbs annually. Product Pipeline (1/2): Florence Copper is targeting 30-35M lbs annual production with clear ramp-up milestones, and the company holds development-stage Yellowhead copper and Aley niobium projects, though specific next-phase dates for expansion remain less firm [1]. R&amp;D Intensity (0/1): Mining companies typically invest minimally in formal R&amp;D; Taseko's process innovation is channeled through project development capex rather than above-peer R&amp;D spending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Trekor Metals' public communications focus on responsible copper production and shareholder value creation — functional but generic language interchangeable with any peer copper miner, with no distinctive purpose statement articulating why the company exists beyond profitable mining [3]. Community Impact (1/2): Taseko publishes annual ESG reports since 2020 and claims Gibraltar ranks in the first quartile of copper mines globally for Scope 1 and 2 GHG emissions intensity [4]. The company maintains Indigenous engagement programs in BC, though the New Prosperity project drew sustained Tsilhqot'in Nation opposition and was twice rejected by the federal government. Employee Retention (0/2): Glassdoor shows 3.5/5 stars from only 24 reviews with mixed feedback — some cite management disconnect and favoritism while others praise compensation and colleagues; sample is too small to demonstrate above-average retention [3]. Insider Buying (0/2): No evidence of meaningful net insider buying by CEO Stuart McDonald or senior executives in the last 12 months; transaction data is dominated by compensation-plan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Forward P/E of 10.0 is well below the 20 target (score 1.0), and the forward PEG of 0.33 is exceptional versus the 1.0 target (score 1.0, 2x weight), reflecting analyst expectations of massive earnings growth as Florence Copper reaches full production with forward EPS of $0.79 versus trailing $0.02 [5]. Revenue growth of 184.8% YoY (score 1.0) is driven by Florence Copper's first contributions plus elevated copper prices. D/E of 89.4% is modestly above the 70% target (score 0.92). However, trailing ROE of just 2.2% (score 0.15, 2x weight) and profit margin of 1.6% (score 0.08) reflect the current earnings trough as heavy Florence development capex suppresses reported net income — the company generated $415M operating cash flow but -$105M free cash flow in the TTM period [5]. 5yr revenue CAGR unavailable. Daily dollar volume of $43.8M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Trekor Metals operates with a finite-game orientation typical of commodity producers — focused on optimizing production volumes, managing costs, and capitalizing on copper price cycles rather than advancing a durable cause beyond shareholder returns. CEO Stuart McDonald's execution on Florence Copper demonstrates project-level courage within a conventional mining growth playbook, but the company lacks an articulated purpose that transcends profitable copper extraction.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Trekor does not articulate a Just Cause; it positions itself as a supplier of critical copper for electrification and energy transition — commercially oriented purpose without distinctive inspiration. The June 2026 rebrand from Taseko to Trekor may signal aspirational evolution, but public narrative remains centered on production growth and financial returns rather than a cause that transcends profit [3]. The New Prosperity controversy over Indigenous sacred land further undermines cause credibility.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McDonald's tenure since 2013 (CFO, then CEO from July 2021) and demonstrated ability to deliver Florence Copper through first commercial production point to organizational execution capability. Glassdoor's 3.5/5 stars and 76% CEO approval from 24 reviews suggest adequate but unremarkable employee sentiment [3]. No public turnover or engagement data distinguishes Trekor from mining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 Trekor's public communications. Management commentary focuses on production targets, cost optimization, and copper price outlooks rather than learning from competitors' strengths. Competitive positioning is defined by asset quality and cost position — standard finite-game language for commodity producers.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Building Florence Copper on novel ISCR technology represents meaningful business model evolution — moving from a single conventional open-pit mine to a dual-asset producer employing a lower-environmental-impact extraction method now proven at commercial scale [1][2]. This was incremental rather than transformative, as the core business remained copper production throughout, but required significant capital commitment and technical risk-taking.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McDonald committed substantial capital to develop Florence Copper despite technical risk as a first-of-kind commercial ISCR operation, completing a US$400M bond refinancing to fund development while maintaining Gibraltar operations [3]. Negative free cash flow of -$105M during the development phase demonstrates willingness to invest through the earnings trough. However, this is a single project bet rather than a pattern of courageous long-term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Trekor Metals at $7.97 with a $2.9B market cap is a copper growth story entering a transformational earnings inflection. Q2 2026 delivered record revenue of $331M as Florence Copper ramped to commercial production alongside Gibraltar's record throughput, with Q1 2026 generating $237M revenue, $16.8M net income (vs. a loss a year prior), and $93.5M adjusted EBITDA [1][2]. The forward P/E of 10.0x and PEG of 0.33 imply analysts expect earnings to surge from trailing EPS of $0.02 to forward EPS of $0.79 as Florence reaches its 30-35M lb annual target and Gibraltar targets 110-115M lbs. Operating cash flow of $415M TTM provides the financial foundation, and copper's structural demand tailwind from AI data centers, electrification, and energy transition supports pricing above $5.50/lb [3].</w:t>
      </w:r>
    </w:p>
    <w:p>
      <w:pPr>
        <w:spacing w:after="120"/>
      </w:pPr>
      <w:r>
        <w:rPr>
          <w:rFonts w:ascii="Calibri" w:hAnsi="Calibri"/>
          <w:b w:val="0"/>
          <w:color w:val="3A4A28"/>
          <w:sz w:val="20"/>
        </w:rPr>
        <w:t>The bear case centers on execution risk and commodity cyclicality. Trekor's 1.6% profit margin and 2.2% ROE reflect a company still absorbing Florence Copper's development costs, with -$105M free cash flow indicating the investment-to-harvest transition is incomplete [5]. D/E of 89.4% and $765M total debt against $187M cash create leverage risk if copper prices decline from current elevated levels. Florence Copper's ISCR technology, while promising, remains commercially unproven at sustained full-scale output — any permitting setbacks, aquifer contamination concerns, or production shortfalls would undermine the entire growth thesis. The trailing P/E of 398.5x underscores how dependent the valuation is on forward earnings materializing. Copper prices above $5/lb reflect peak-cycle conditions, and any global economic slowdown could compress margins rapidly for a company with significant fixed obligations and beta of 2.09.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Florence Copper ramp-up to 30-35M lbs annual production represents a step-change in earnings power — the project generated $10M EBITDA in its first full production quarter and should approach $150M+ annual EBITDA at full rates with copper above $5/lb [1][2]</w:t>
      </w:r>
    </w:p>
    <w:p>
      <w:pPr>
        <w:spacing w:before="40" w:after="40"/>
        <w:ind w:left="283"/>
      </w:pPr>
      <w:r>
        <w:rPr>
          <w:rFonts w:ascii="Calibri" w:hAnsi="Calibri"/>
          <w:b/>
          <w:color w:val="4A6B25"/>
          <w:sz w:val="20"/>
        </w:rPr>
        <w:t xml:space="preserve">2. </w:t>
      </w:r>
      <w:r>
        <w:rPr>
          <w:rFonts w:ascii="Calibri" w:hAnsi="Calibri"/>
          <w:b w:val="0"/>
          <w:color w:val="3A4A28"/>
          <w:sz w:val="20"/>
        </w:rPr>
        <w:t>Structural copper demand growth from AI data center construction and electrification — S&amp;P Global projects AI alone could boost copper demand 50% by 2040, supporting sustained high prices for Trekor's expanding production base [3]</w:t>
      </w:r>
    </w:p>
    <w:p>
      <w:pPr>
        <w:spacing w:before="40" w:after="40"/>
        <w:ind w:left="283"/>
      </w:pPr>
      <w:r>
        <w:rPr>
          <w:rFonts w:ascii="Calibri" w:hAnsi="Calibri"/>
          <w:b/>
          <w:color w:val="4A6B25"/>
          <w:sz w:val="20"/>
        </w:rPr>
        <w:t xml:space="preserve">3. </w:t>
      </w:r>
      <w:r>
        <w:rPr>
          <w:rFonts w:ascii="Calibri" w:hAnsi="Calibri"/>
          <w:b w:val="0"/>
          <w:color w:val="3A4A28"/>
          <w:sz w:val="20"/>
        </w:rPr>
        <w:t>Forward EPS of $0.79 implies massive earnings growth from the $0.02 trailing figure, with forward P/E of 10x and PEG of 0.33 suggesting significant re-rating upside if the production trajectory materializes through 2027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Florence Copper ISCR technology remains commercially unproven at sustained full scale — any permitting delays, aquifer issues, or production shortfalls below the 30-35M lb target would remove the primary growth catalyst and strand $400M+ in invested capital [1]</w:t>
      </w:r>
    </w:p>
    <w:p>
      <w:pPr>
        <w:spacing w:before="40" w:after="40"/>
        <w:ind w:left="283"/>
      </w:pPr>
      <w:r>
        <w:rPr>
          <w:rFonts w:ascii="Calibri" w:hAnsi="Calibri"/>
          <w:b/>
          <w:color w:val="4A6B25"/>
          <w:sz w:val="20"/>
        </w:rPr>
        <w:t xml:space="preserve">2. </w:t>
      </w:r>
      <w:r>
        <w:rPr>
          <w:rFonts w:ascii="Calibri" w:hAnsi="Calibri"/>
          <w:b w:val="0"/>
          <w:color w:val="3A4A28"/>
          <w:sz w:val="20"/>
        </w:rPr>
        <w:t>Copper price cyclicality at elevated $5.50+/lb levels — a global recession or China demand slowdown could push copper below $4/lb, compressing margins sharply for a company with only 1.6% profit margin, $765M debt, and beta of 2.09 [5]</w:t>
      </w:r>
    </w:p>
    <w:p>
      <w:pPr>
        <w:spacing w:before="40" w:after="40"/>
        <w:ind w:left="283"/>
      </w:pPr>
      <w:r>
        <w:rPr>
          <w:rFonts w:ascii="Calibri" w:hAnsi="Calibri"/>
          <w:b/>
          <w:color w:val="4A6B25"/>
          <w:sz w:val="20"/>
        </w:rPr>
        <w:t xml:space="preserve">3. </w:t>
      </w:r>
      <w:r>
        <w:rPr>
          <w:rFonts w:ascii="Calibri" w:hAnsi="Calibri"/>
          <w:b w:val="0"/>
          <w:color w:val="3A4A28"/>
          <w:sz w:val="20"/>
        </w:rPr>
        <w:t>Dual-asset management stretch — running Gibraltar at record 85,000 tpd while simultaneously ramping Florence stretches management bandwidth and capital, with negative free cash flow persisting through the transition period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Copper mining is a physical-world operation that AI structurally cannot displace — extracting, processing, and selling physical copper requires mines, mills, and infrastructure regardless of AI advances [1][2]. More importantly, AI is a direct demand catalyst for copper: data center construction, power transmission for AI compute facilities, and electrification all require substantial copper volumes, with S&amp;P Global projecting AI could boost copper demand 50% by 2040 [3]. Taseko's two producing assets serve this physical infrastructure need, and regulatory barriers (mining permits, environmental approvals) create additional protection against any form of disruption. AI Opportunity (0/1): Trekor generates no revenue from AI-related products or services; the company benefits from AI-driven copper demand growth indirectly through commodity pricing rather than through any AI product offering.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Taseko Mines Q1 2026 Earnings Release — Revenue $237.1M, Net Income $16.8M, Adjusted EBITDA $93.5M, Realized Copper $5.74/lb — GlobeNewsWire, May 2026</w:t>
      </w:r>
    </w:p>
    <w:p>
      <w:pPr>
        <w:spacing w:before="20" w:after="20"/>
        <w:ind w:left="170"/>
      </w:pPr>
      <w:r>
        <w:rPr>
          <w:rFonts w:ascii="Calibri" w:hAnsi="Calibri"/>
          <w:b/>
          <w:color w:val="4A6B25"/>
          <w:sz w:val="15"/>
        </w:rPr>
        <w:t xml:space="preserve">2. </w:t>
      </w:r>
      <w:r>
        <w:rPr>
          <w:rFonts w:ascii="Calibri" w:hAnsi="Calibri"/>
          <w:b w:val="0"/>
          <w:color w:val="3A4A28"/>
          <w:sz w:val="17"/>
        </w:rPr>
        <w:t>Taseko Mines Q2 2026 Earnings Call — Record Revenue $331M, 37M lbs Copper Sold, Florence Copper Full-Quarter Production — Benzinga, October 2026</w:t>
      </w:r>
    </w:p>
    <w:p>
      <w:pPr>
        <w:spacing w:before="20" w:after="20"/>
        <w:ind w:left="170"/>
      </w:pPr>
      <w:r>
        <w:rPr>
          <w:rFonts w:ascii="Calibri" w:hAnsi="Calibri"/>
          <w:b/>
          <w:color w:val="4A6B25"/>
          <w:sz w:val="15"/>
        </w:rPr>
        <w:t xml:space="preserve">3. </w:t>
      </w:r>
      <w:r>
        <w:rPr>
          <w:rFonts w:ascii="Calibri" w:hAnsi="Calibri"/>
          <w:b w:val="0"/>
          <w:color w:val="3A4A28"/>
          <w:sz w:val="17"/>
        </w:rPr>
        <w:t>Taseko CEO Stuart McDonald Leadership, Florence Copper ISCR Development, MineSense Ore Sorting, AI Copper Demand — CeraWeek/S&amp;P Global/Glassdoor, 2025-2026</w:t>
      </w:r>
    </w:p>
    <w:p>
      <w:pPr>
        <w:spacing w:before="20" w:after="20"/>
        <w:ind w:left="170"/>
      </w:pPr>
      <w:r>
        <w:rPr>
          <w:rFonts w:ascii="Calibri" w:hAnsi="Calibri"/>
          <w:b/>
          <w:color w:val="4A6B25"/>
          <w:sz w:val="15"/>
        </w:rPr>
        <w:t xml:space="preserve">4. </w:t>
      </w:r>
      <w:r>
        <w:rPr>
          <w:rFonts w:ascii="Calibri" w:hAnsi="Calibri"/>
          <w:b w:val="0"/>
          <w:color w:val="3A4A28"/>
          <w:sz w:val="17"/>
        </w:rPr>
        <w:t>Taseko ESG Reports — Gibraltar First Quartile GHG Emissions, Annual Sustainability Reporting Since 2020 — PRNewswire, 2023</w:t>
      </w:r>
    </w:p>
    <w:p>
      <w:pPr>
        <w:spacing w:before="20" w:after="20"/>
        <w:ind w:left="170"/>
      </w:pPr>
      <w:r>
        <w:rPr>
          <w:rFonts w:ascii="Calibri" w:hAnsi="Calibri"/>
          <w:b/>
          <w:color w:val="4A6B25"/>
          <w:sz w:val="15"/>
        </w:rPr>
        <w:t xml:space="preserve">5. </w:t>
      </w:r>
      <w:r>
        <w:rPr>
          <w:rFonts w:ascii="Calibri" w:hAnsi="Calibri"/>
          <w:b w:val="0"/>
          <w:color w:val="3A4A28"/>
          <w:sz w:val="17"/>
        </w:rPr>
        <w:t>Yahoo Finance — TGB Key Statistics, Forward Estimates, Balance Sheet,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