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TGT</w:t>
      </w:r>
      <w:r>
        <w:rPr>
          <w:rFonts w:ascii="Calibri" w:hAnsi="Calibri"/>
          <w:b/>
          <w:color w:val="1A2010"/>
          <w:sz w:val="40"/>
        </w:rPr>
        <w:t xml:space="preserve">  Target Corporation</w:t>
      </w:r>
    </w:p>
    <w:p>
      <w:pPr>
        <w:spacing w:after="120"/>
      </w:pPr>
      <w:r>
        <w:rPr>
          <w:rFonts w:ascii="Calibri" w:hAnsi="Calibri"/>
          <w:b/>
          <w:color w:val="6E8450"/>
          <w:sz w:val="18"/>
        </w:rPr>
        <w:t>DIVIDEND SLEEVE · 2026-10-17 · Inspire: -83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Discount Stores · NYQ · United States</w:t>
      </w:r>
    </w:p>
    <w:p>
      <w:pPr>
        <w:spacing w:after="80"/>
      </w:pPr>
      <w:r>
        <w:rPr>
          <w:rFonts w:ascii="Calibri" w:hAnsi="Calibri"/>
          <w:b w:val="0"/>
          <w:color w:val="3A4A28"/>
          <w:sz w:val="20"/>
        </w:rPr>
        <w:t>Target Corporation operates approximately 1,960 general merchandise and food discount stores across all 50 U.S. states. The company offers apparel, beauty, food &amp; beverage, electronics, home goods, and household essentials through physical stores and digital channels including same-day delivery via Drive Up, Order Pickup, and Shipt. TTM revenue of $107.7B with Q2 FY2027 delivering $26.5B in net sales (up 5.3% YoY) and comparable sales growth of 3.8%, ending a four-quarter negative comp streak [1][2].</w:t>
      </w:r>
    </w:p>
    <w:p>
      <w:r>
        <w:rPr>
          <w:rFonts w:ascii="Calibri" w:hAnsi="Calibri"/>
          <w:b/>
          <w:color w:val="6E8450"/>
          <w:sz w:val="18"/>
        </w:rPr>
        <w:t>400,000 Employees · https://corporate.target.com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Target executed a multi-billion-dollar store remodel program and built a comprehensive omnichannel fulfillment ecosystem — Drive Up, Order Pickup, and Shipt same-day delivery — that drove digital comparable sales up 8.7% and same-day delivery growth of 25%+ in Q2 FY2027 [2]. The company launched successful private-label brands (Good &amp; Gather, All in Motion, Dealworthy) that differentiate its value proposition, though these are extensions rather than transformative pivots. AI Deployment (1/2): Target named its first Chief AI Officer (Chandhu Nair) in August 2026 as part of CEO Fiddelke's $2B operational investment plan, and CIO Brett Craig has promoted company-wide AI innovation through quarterly Demo Days [3]. No quantified AI revenue or specific cost savings have been publicly reported. Market Share (0/2): Target is the 6th largest U.S. retailer but has not demonstrated meaningful share gains; Q1 FY2027's 5.6% comp growth ended four consecutive negative quarters rather than establishing sustained leadership [1]. Product Pipeline (1/2): Continued store remodels, expansion of owned brands, and integration of AI into operations provide visible roadmap, but specific next-generation product or format launches with firm timelines are not articulated. R&amp;D Intensity (0/1): Retail companies do not disclose formal R&amp;D spending; Target's technology investment is embedded in capital expenditure and does not distinguish it from peers on an intensity basis.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Target's purpose — 'to help all families discover the joy of everyday life' — is clear, specific, and distinguishes the company from Walmart's low-price positioning and Amazon's convenience focus [3]. The 'joy of everyday life' framing has shaped strategic decisions including affordable design partnerships (Chip &amp; Joanna Gaines, Hearth &amp; Hand) and store experience investments. However, the rapid retreat from DEI commitments and Pride merchandise under political pressure in 2025 undermines the claim that this purpose consistently guides decisions under pressure. Community Impact (1/2): Target Foundation and corporate giving programs exist, and the company reports on energy management, GHG emissions, and ethical supply chain practices [5]. However, the DEI rollback and removal of diversity surveys signal institutional retreat from previously stated community commitments. Employee Retention (1/2): CEO succession from Brian Cornell (executive chairman) to Michael Fiddelke was a planned internal promotion reflecting organizational stability [3]. Fiddelke has emphasized candor and open problem assessment as cultural priorities. With 400,000 employees, no standout voluntary turnover data distinguishes Target from retail industry norms. Insider Buying (0/2): No evidence of meaningful net insider buying by CEO Fiddelke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Target's infrastructure strength is anchored by exceptional dividend history: 55+ consecutive years of dividend payments (score 1.0, 2x weight) and 55+ consecutive years of dividend growth as a Dividend King (score 1.0), with 5-year dividend growth CAGR of 11.0% well exceeding the 6% target (score 1.0, 2x weight) [6]. ROE of 26.4% exceeds the 15% target (score 1.0), and forward P/E of 16.2 is below the 20 target (score 1.0). Payout ratio of 47.3% is modestly above the 40% target (score 0.88). D/E of 107.6% scores 0.84 against the 70% target, reflecting Target's deliberate leverage for store investments and share repurchases. Revenue growth YoY of 5.3% (score 0.84) is solid for a mature retailer. Profit margin of 4.1% (score 0.20) is the primary drag, typical for discount retail's structurally thin margins. Daily dollar volume of $613M provides maximum liquidity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Target exhibits mixed infinite-game characteristics — a genuine purpose around 'the joy of everyday life' and multi-billion-dollar long-term store investments demonstrate enduring intent, but the rapid retreat from DEI commitments and Pride merchandise under political pressure reveals a company that compromises its stated values when short-term backlash intensifies. The smooth CEO succession from Cornell to Fiddelke shows organizational maturity, though the new leader inherits a brand navigating significant trust deficits on multiple fronts.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'Help all families discover the joy of everyday life' is a genuine and distinctive purpose that has shaped Target's strategic differentiation — affordable design partnerships, curated in-store experience, and private-label brand development all trace to this cause [3]. However, the 2025 DEI rollback and Pride merchandise removal under political pressure demonstrate that the cause has not been fully validated through crisis; leadership prioritized short-term customer appeasement over consistent purpose execution. A 3 requires decades of consistent execution through adversity, which the recent controversies preclude.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Fiddelke has emphasized creating a culture of candor where problems are openly assessed rather than hidden [3]. The planned succession from Cornell (now executive chairman) to Fiddelke demonstrated organizational maturity and leadership continuity. However, the rapid policy reversals on DEI and Pride merchandise — reportedly without adequate internal consultation — may have damaged trust among the 400,000-person workforce, particularly team members from affected communities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Target's competitive language centers on its differentiated positioning ('Expect More, Pay Less') versus Walmart's price focus and Amazon's convenience, framing competition as a battle for consumer share rather than a source of self-improvement. No public statements from leadership acknowledge specific competitors' strengths as motivation for Target's own evolution.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Target has meaningfully evolved from a traditional brick-and-mortar retailer to an omnichannel operation with same-day delivery capabilities, digital comparable sales growing 8.7%, and same-day delivery up 25%+ in Q2 FY2027 [2]. The multi-billion-dollar store remodel program and private-label brand strategy represent genuine strategic adaptation. However, this evolution has been incremental rather than transformative — the core business model remains discount retail, and Target has not demonstrated willingness to exit profitable-but-misaligned categories.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Target invested billions in store remodels and fulfillment infrastructure even during periods of declining same-day comparable sales, and CEO Fiddelke committed an additional $2B in operational investment for FY2027 [3]. However, the rapid retreat from DEI programs and Pride merchandise under political pressure is the antithesis of courage to lead — it demonstrates leadership choosing short-term revenue protection over principled commitment to stated values, damaging brand equity with multiple stakeholder groups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Target at $154.26 with a $70B market cap is a Dividend King executing a recovery from its 2023-2025 traffic slump. Q2 FY2027 delivered $26.5B revenue (up 5.3%) with comparable sales growth of 3.8% — beating the 2.4% consensus — and digital comps surged 8.7% with same-day delivery up 25%+ [1][2]. Adjusted EPS (excluding $994M in tariff refund benefits) grew 20% YoY, and full-year guidance was raised to ~5% net sales growth with EPS of $9.90-$10.90. The dividend yields 3.01% with 55 consecutive years of increases and an 11% 5-year growth CAGR, backed by $8.7B operating cash flow and $3.4B free cash flow TTM [6]. At 16.2x forward earnings versus the 10-year average of ~19x, TGT trades at a meaningful discount to its historical multiple.</w:t>
      </w:r>
    </w:p>
    <w:p>
      <w:pPr>
        <w:spacing w:after="120"/>
      </w:pPr>
      <w:r>
        <w:rPr>
          <w:rFonts w:ascii="Calibri" w:hAnsi="Calibri"/>
          <w:b w:val="0"/>
          <w:color w:val="3A4A28"/>
          <w:sz w:val="20"/>
        </w:rPr>
        <w:t>The bear case centers on structural margin pressure and brand trust erosion. Profit margin of 4.1% is thin even for discount retail, and Q2 EPS of $4.11 was inflated by $1.65 in one-time tariff refunds — underlying profitability improvement is closer to 20% than the headline 100%+ [2]. Revenue has been essentially flat over 5 years (~2.3% CAGR) as Target lost traffic share to Walmart's grocery dominance and Amazon's e-commerce convenience. The DEI rollback and Pride merchandise controversy have alienated progressive consumers while failing to fully recapture conservative shoppers, creating a lose-lose brand positioning reflected in securities class-action lawsuits filed in early 2025 [4][5]. D/E of 107.6% reflects deliberate leverage but limits flexibility if the consumer environment deteriorates. A PEG of 2.14 suggests the market prices in only modest growth, and any resumption of negative comps would pressure both the multiple and the Dividend King status that underpins the valuation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Comparable sales inflection with Q1 FY2027 up 5.6% and Q2 up 3.8% ending four consecutive negative quarters, driven by omnichannel investments with digital comps up 8.7% and same-day delivery growing 25%+ [1][2]</w:t>
      </w:r>
    </w:p>
    <w:p>
      <w:pPr>
        <w:spacing w:before="40" w:after="40"/>
        <w:ind w:left="283"/>
      </w:pPr>
      <w:r>
        <w:rPr>
          <w:rFonts w:ascii="Calibri" w:hAnsi="Calibri"/>
          <w:b/>
          <w:color w:val="4A6B25"/>
          <w:sz w:val="20"/>
        </w:rPr>
        <w:t xml:space="preserve">2. </w:t>
      </w:r>
      <w:r>
        <w:rPr>
          <w:rFonts w:ascii="Calibri" w:hAnsi="Calibri"/>
          <w:b w:val="0"/>
          <w:color w:val="3A4A28"/>
          <w:sz w:val="20"/>
        </w:rPr>
        <w:t>CEO Fiddelke's $2B operational investment and first Chief AI Officer appointment signal commitment to operational transformation that could drive margin expansion from the current thin 4.1% profit margin [3]</w:t>
      </w:r>
    </w:p>
    <w:p>
      <w:pPr>
        <w:spacing w:before="40" w:after="40"/>
        <w:ind w:left="283"/>
      </w:pPr>
      <w:r>
        <w:rPr>
          <w:rFonts w:ascii="Calibri" w:hAnsi="Calibri"/>
          <w:b/>
          <w:color w:val="4A6B25"/>
          <w:sz w:val="20"/>
        </w:rPr>
        <w:t xml:space="preserve">3. </w:t>
      </w:r>
      <w:r>
        <w:rPr>
          <w:rFonts w:ascii="Calibri" w:hAnsi="Calibri"/>
          <w:b w:val="0"/>
          <w:color w:val="3A4A28"/>
          <w:sz w:val="20"/>
        </w:rPr>
        <w:t>Dividend King valuation floor at 16.2x forward earnings — a meaningful discount to Target's 10-year average multiple of ~19x — with 55 consecutive years of dividend increases and 11% 5-year growth CAGR providing downside protection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Brand trust erosion from DEI rollback and Pride merchandise controversy has alienated multiple consumer segments, triggering securities lawsuits and shareholder activism while failing to resolve the underlying brand identity crisis [4][5]</w:t>
      </w:r>
    </w:p>
    <w:p>
      <w:pPr>
        <w:spacing w:before="40" w:after="40"/>
        <w:ind w:left="283"/>
      </w:pPr>
      <w:r>
        <w:rPr>
          <w:rFonts w:ascii="Calibri" w:hAnsi="Calibri"/>
          <w:b/>
          <w:color w:val="4A6B25"/>
          <w:sz w:val="20"/>
        </w:rPr>
        <w:t xml:space="preserve">2. </w:t>
      </w:r>
      <w:r>
        <w:rPr>
          <w:rFonts w:ascii="Calibri" w:hAnsi="Calibri"/>
          <w:b w:val="0"/>
          <w:color w:val="3A4A28"/>
          <w:sz w:val="20"/>
        </w:rPr>
        <w:t>Structural margin compression risk from intensifying competition with Walmart's grocery dominance and Amazon's AI-powered e-commerce, pressuring a business model that operates on just 4.1% profit margin with 107.6% D/E leverage [6]</w:t>
      </w:r>
    </w:p>
    <w:p>
      <w:pPr>
        <w:spacing w:before="40" w:after="40"/>
        <w:ind w:left="283"/>
      </w:pPr>
      <w:r>
        <w:rPr>
          <w:rFonts w:ascii="Calibri" w:hAnsi="Calibri"/>
          <w:b/>
          <w:color w:val="4A6B25"/>
          <w:sz w:val="20"/>
        </w:rPr>
        <w:t xml:space="preserve">3. </w:t>
      </w:r>
      <w:r>
        <w:rPr>
          <w:rFonts w:ascii="Calibri" w:hAnsi="Calibri"/>
          <w:b w:val="0"/>
          <w:color w:val="3A4A28"/>
          <w:sz w:val="20"/>
        </w:rPr>
        <w:t>Q2 EPS of $4.11 was inflated by $994M in one-time tariff refunds ($1.65/share) — the underlying earnings trajectory is closer to 20% growth rather than headline 100%+, creating risk of negative earnings revisions as the one-time benefit rolls off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Physical retail with 1,960 stores selling essential consumer goods — groceries, household essentials, apparel — is structurally protected from AI substitution; consumers need physical products regardless of AI advances [1][2]. Target's omnichannel ecosystem (Drive Up, same-day delivery, in-store experience) creates switching costs that AI cannot easily replicate. However, AI-powered e-commerce optimization by Amazon and emerging AI shopping agents could accelerate the shift from in-store to online purchasing, putting incremental pressure on Target's store traffic and potentially compressing already-thin retail margins. The company is not immune — it operates in a sector where AI enhances competitive intensity. AI Opportunity (0/1): Despite naming its first Chief AI Officer in August 2026 and investing in AI through Demo Days and operational optimization, Target has not disclosed quantifiable AI revenue or specific cost savings from AI deployment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Abortifacients </w:t>
      </w:r>
      <w:r>
        <w:rPr>
          <w:rFonts w:ascii="Calibri" w:hAnsi="Calibri"/>
          <w:b w:val="0"/>
          <w:color w:val="9DAF88"/>
          <w:sz w:val="17"/>
        </w:rPr>
        <w:t xml:space="preserve">  ·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Target Q1 FY2027 Earnings Release — Net Sales $25.4B (+6.7% YoY), Comparable Sales +5.6%, Adjusted EPS $1.71 (+32% YoY) — 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Target Q2 FY2027 Earnings Release — Net Sales $26.5B (+5.3%), Comparable Sales +3.8%, EPS $4.11 Including $994M Tariff Refunds — Target Corporate, August 2026</w:t>
      </w:r>
    </w:p>
    <w:p>
      <w:pPr>
        <w:spacing w:before="20" w:after="20"/>
        <w:ind w:left="170"/>
      </w:pPr>
      <w:r>
        <w:rPr>
          <w:rFonts w:ascii="Calibri" w:hAnsi="Calibri"/>
          <w:b/>
          <w:color w:val="4A6B25"/>
          <w:sz w:val="15"/>
        </w:rPr>
        <w:t xml:space="preserve">3. </w:t>
      </w:r>
      <w:r>
        <w:rPr>
          <w:rFonts w:ascii="Calibri" w:hAnsi="Calibri"/>
          <w:b w:val="0"/>
          <w:color w:val="3A4A28"/>
          <w:sz w:val="17"/>
        </w:rPr>
        <w:t>Target CEO Michael Fiddelke Leadership, Chief AI Officer Chandhu Nair Appointment, CIO Brett Craig AI Strategy — Fortune, Forbes, CNBC, 2024-2026</w:t>
      </w:r>
    </w:p>
    <w:p>
      <w:pPr>
        <w:spacing w:before="20" w:after="20"/>
        <w:ind w:left="170"/>
      </w:pPr>
      <w:r>
        <w:rPr>
          <w:rFonts w:ascii="Calibri" w:hAnsi="Calibri"/>
          <w:b/>
          <w:color w:val="4A6B25"/>
          <w:sz w:val="15"/>
        </w:rPr>
        <w:t xml:space="preserve">4. </w:t>
      </w:r>
      <w:r>
        <w:rPr>
          <w:rFonts w:ascii="Calibri" w:hAnsi="Calibri"/>
          <w:b w:val="0"/>
          <w:color w:val="3A4A28"/>
          <w:sz w:val="17"/>
        </w:rPr>
        <w:t>Target DEI Rollback Controversy — Securities Class-Action Lawsuits, Pride Merchandise Decisions, Consumer Backlash — ESG Dive, diversity.com, 2025-2026</w:t>
      </w:r>
    </w:p>
    <w:p>
      <w:pPr>
        <w:spacing w:before="20" w:after="20"/>
        <w:ind w:left="170"/>
      </w:pPr>
      <w:r>
        <w:rPr>
          <w:rFonts w:ascii="Calibri" w:hAnsi="Calibri"/>
          <w:b/>
          <w:color w:val="4A6B25"/>
          <w:sz w:val="15"/>
        </w:rPr>
        <w:t xml:space="preserve">5. </w:t>
      </w:r>
      <w:r>
        <w:rPr>
          <w:rFonts w:ascii="Calibri" w:hAnsi="Calibri"/>
          <w:b w:val="0"/>
          <w:color w:val="3A4A28"/>
          <w:sz w:val="17"/>
        </w:rPr>
        <w:t>Target ESG Reporting, Shareholder Activism — Trillium Asset Management Director Challenge, Pesticide Proposal — SEC Filings, May-June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TGT Key Statistics, Dividend History, Forward Estimates,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